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D6" w:rsidRDefault="00D201D6" w:rsidP="00D201D6">
      <w:pPr>
        <w:spacing w:after="0" w:line="240" w:lineRule="auto"/>
        <w:jc w:val="center"/>
        <w:rPr>
          <w:rFonts w:ascii="Arial" w:hAnsi="Arial" w:cs="Arial"/>
          <w:b/>
          <w:sz w:val="24"/>
          <w:szCs w:val="24"/>
        </w:rPr>
      </w:pPr>
      <w:r w:rsidRPr="009B7699">
        <w:rPr>
          <w:rFonts w:ascii="Arial" w:hAnsi="Arial" w:cs="Arial"/>
          <w:b/>
          <w:sz w:val="24"/>
          <w:szCs w:val="24"/>
        </w:rPr>
        <w:t>Alcohol problem profiles for the City of Edin</w:t>
      </w:r>
      <w:r>
        <w:rPr>
          <w:rFonts w:ascii="Arial" w:hAnsi="Arial" w:cs="Arial"/>
          <w:b/>
          <w:sz w:val="24"/>
          <w:szCs w:val="24"/>
        </w:rPr>
        <w:t>burgh Neighbourhood Partnerships</w:t>
      </w:r>
    </w:p>
    <w:p w:rsidR="00D201D6" w:rsidRDefault="00D201D6" w:rsidP="00D201D6">
      <w:pPr>
        <w:spacing w:after="0" w:line="240" w:lineRule="auto"/>
        <w:jc w:val="center"/>
        <w:rPr>
          <w:rFonts w:ascii="Arial" w:hAnsi="Arial" w:cs="Arial"/>
          <w:b/>
          <w:sz w:val="24"/>
          <w:szCs w:val="24"/>
        </w:rPr>
      </w:pPr>
    </w:p>
    <w:p w:rsidR="00D201D6" w:rsidRDefault="00D201D6" w:rsidP="00D201D6">
      <w:pPr>
        <w:spacing w:after="0" w:line="240" w:lineRule="auto"/>
        <w:jc w:val="center"/>
        <w:rPr>
          <w:rFonts w:ascii="Arial" w:hAnsi="Arial" w:cs="Arial"/>
          <w:b/>
          <w:sz w:val="24"/>
          <w:szCs w:val="24"/>
        </w:rPr>
      </w:pPr>
      <w:r>
        <w:rPr>
          <w:rFonts w:ascii="Arial" w:hAnsi="Arial" w:cs="Arial"/>
          <w:b/>
          <w:sz w:val="24"/>
          <w:szCs w:val="24"/>
        </w:rPr>
        <w:t>Portobello/Craigmillar</w:t>
      </w:r>
    </w:p>
    <w:p w:rsidR="002449E2" w:rsidRDefault="002449E2" w:rsidP="00D201D6">
      <w:pPr>
        <w:spacing w:after="0" w:line="240" w:lineRule="auto"/>
        <w:jc w:val="center"/>
        <w:rPr>
          <w:rFonts w:ascii="Arial" w:hAnsi="Arial" w:cs="Arial"/>
          <w:b/>
          <w:sz w:val="24"/>
          <w:szCs w:val="24"/>
        </w:rPr>
      </w:pPr>
      <w:r>
        <w:rPr>
          <w:rFonts w:ascii="Arial" w:hAnsi="Arial" w:cs="Arial"/>
          <w:b/>
          <w:sz w:val="24"/>
          <w:szCs w:val="24"/>
        </w:rPr>
        <w:t>August 2013</w:t>
      </w:r>
    </w:p>
    <w:p w:rsidR="002449E2" w:rsidRDefault="002449E2" w:rsidP="00D201D6">
      <w:pPr>
        <w:spacing w:after="0" w:line="240" w:lineRule="auto"/>
        <w:jc w:val="center"/>
        <w:rPr>
          <w:rFonts w:ascii="Arial" w:hAnsi="Arial" w:cs="Arial"/>
          <w:b/>
          <w:sz w:val="24"/>
          <w:szCs w:val="24"/>
        </w:rPr>
      </w:pPr>
    </w:p>
    <w:p w:rsidR="00D201D6" w:rsidRDefault="002449E2" w:rsidP="002449E2">
      <w:pPr>
        <w:spacing w:after="0" w:line="240" w:lineRule="auto"/>
        <w:jc w:val="center"/>
        <w:rPr>
          <w:rFonts w:ascii="Arial" w:hAnsi="Arial" w:cs="Arial"/>
          <w:b/>
          <w:sz w:val="24"/>
          <w:szCs w:val="24"/>
        </w:rPr>
      </w:pPr>
      <w:r>
        <w:rPr>
          <w:rFonts w:ascii="Arial" w:hAnsi="Arial" w:cs="Arial"/>
          <w:b/>
          <w:noProof/>
          <w:sz w:val="24"/>
          <w:szCs w:val="24"/>
          <w:lang w:eastAsia="en-GB"/>
        </w:rPr>
        <w:drawing>
          <wp:inline distT="0" distB="0" distL="0" distR="0">
            <wp:extent cx="5629275" cy="375908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29275" cy="3759084"/>
                    </a:xfrm>
                    <a:prstGeom prst="rect">
                      <a:avLst/>
                    </a:prstGeom>
                    <a:noFill/>
                    <a:ln w="9525">
                      <a:noFill/>
                      <a:miter lim="800000"/>
                      <a:headEnd/>
                      <a:tailEnd/>
                    </a:ln>
                  </pic:spPr>
                </pic:pic>
              </a:graphicData>
            </a:graphic>
          </wp:inline>
        </w:drawing>
      </w:r>
    </w:p>
    <w:p w:rsidR="002449E2" w:rsidRDefault="002449E2" w:rsidP="00D201D6">
      <w:pPr>
        <w:spacing w:after="0" w:line="240" w:lineRule="auto"/>
        <w:rPr>
          <w:rFonts w:ascii="Arial" w:hAnsi="Arial" w:cs="Arial"/>
          <w:b/>
          <w:sz w:val="24"/>
          <w:szCs w:val="24"/>
        </w:rPr>
      </w:pPr>
    </w:p>
    <w:p w:rsidR="00D201D6" w:rsidRPr="009B7699" w:rsidRDefault="00D201D6" w:rsidP="00F36FB7">
      <w:pPr>
        <w:spacing w:after="0" w:line="360" w:lineRule="auto"/>
        <w:rPr>
          <w:rFonts w:ascii="Arial" w:hAnsi="Arial" w:cs="Arial"/>
          <w:b/>
          <w:sz w:val="24"/>
          <w:szCs w:val="24"/>
        </w:rPr>
      </w:pPr>
      <w:r w:rsidRPr="009B7699">
        <w:rPr>
          <w:rFonts w:ascii="Arial" w:hAnsi="Arial" w:cs="Arial"/>
          <w:b/>
          <w:sz w:val="24"/>
          <w:szCs w:val="24"/>
        </w:rPr>
        <w:t>Introduction</w:t>
      </w:r>
    </w:p>
    <w:p w:rsidR="00D201D6" w:rsidRDefault="00D201D6" w:rsidP="00F36FB7">
      <w:pPr>
        <w:spacing w:after="0" w:line="360" w:lineRule="auto"/>
        <w:rPr>
          <w:rFonts w:ascii="Arial" w:hAnsi="Arial" w:cs="Arial"/>
          <w:sz w:val="24"/>
          <w:szCs w:val="24"/>
        </w:rPr>
      </w:pPr>
      <w:r>
        <w:rPr>
          <w:rFonts w:ascii="Arial" w:hAnsi="Arial" w:cs="Arial"/>
          <w:sz w:val="24"/>
          <w:szCs w:val="24"/>
        </w:rPr>
        <w:t xml:space="preserve">The Neighbourhood Partnership area of Portobello/Craigmillar is located in the east of the </w:t>
      </w:r>
      <w:r w:rsidRPr="002449E2">
        <w:rPr>
          <w:rFonts w:ascii="Arial" w:hAnsi="Arial" w:cs="Arial"/>
          <w:sz w:val="24"/>
          <w:szCs w:val="24"/>
        </w:rPr>
        <w:t xml:space="preserve">City. </w:t>
      </w:r>
      <w:r w:rsidR="002449E2" w:rsidRPr="002449E2">
        <w:rPr>
          <w:rFonts w:ascii="Arial" w:hAnsi="Arial" w:cs="Arial"/>
          <w:sz w:val="24"/>
          <w:szCs w:val="24"/>
        </w:rPr>
        <w:t>The area covers the intermediate zones</w:t>
      </w:r>
      <w:r w:rsidR="002449E2" w:rsidRPr="002449E2">
        <w:rPr>
          <w:rStyle w:val="FootnoteReference"/>
          <w:rFonts w:ascii="Arial" w:hAnsi="Arial" w:cs="Arial"/>
          <w:sz w:val="24"/>
          <w:szCs w:val="24"/>
        </w:rPr>
        <w:footnoteReference w:id="1"/>
      </w:r>
      <w:r w:rsidR="002449E2" w:rsidRPr="002449E2">
        <w:rPr>
          <w:rFonts w:ascii="Arial" w:hAnsi="Arial" w:cs="Arial"/>
          <w:sz w:val="24"/>
          <w:szCs w:val="24"/>
        </w:rPr>
        <w:t xml:space="preserve"> of South East Bypass; Greendykes &amp; Niddrie Mains; Niddrie; Jewel, Brunstane &amp; Newcraighall; Bingham, Magdalene &amp;The Christians; Joppa; and Portobello.</w:t>
      </w:r>
      <w:r w:rsidR="002449E2">
        <w:rPr>
          <w:rFonts w:ascii="Arial" w:hAnsi="Arial" w:cs="Arial"/>
          <w:sz w:val="20"/>
          <w:szCs w:val="20"/>
        </w:rPr>
        <w:t xml:space="preserve"> </w:t>
      </w:r>
      <w:r>
        <w:rPr>
          <w:rFonts w:ascii="Arial" w:hAnsi="Arial" w:cs="Arial"/>
          <w:sz w:val="24"/>
          <w:szCs w:val="24"/>
        </w:rPr>
        <w:t xml:space="preserve">There are approximately 24,130 people living in Portobello/Craigmillar. </w:t>
      </w:r>
      <w:r w:rsidR="00F36FB7">
        <w:rPr>
          <w:rFonts w:ascii="Arial" w:hAnsi="Arial" w:cs="Arial"/>
          <w:sz w:val="24"/>
          <w:szCs w:val="24"/>
        </w:rPr>
        <w:t>The area has significantly poorer rates of employment, health, crime and education, training and skills and slightly poorer rates of housing than the rest of Scotland. Niddrie and Craigmillar have been highlighted as having significantly poorer outcomes for health, including alcohol-related hospital admissions, and crime, including violence, minor assault and vandalism.</w:t>
      </w:r>
    </w:p>
    <w:p w:rsidR="00F36FB7" w:rsidRDefault="00F36FB7" w:rsidP="00F36FB7">
      <w:pPr>
        <w:spacing w:after="0" w:line="360" w:lineRule="auto"/>
        <w:rPr>
          <w:rFonts w:ascii="Arial" w:hAnsi="Arial" w:cs="Arial"/>
          <w:sz w:val="24"/>
          <w:szCs w:val="24"/>
        </w:rPr>
      </w:pPr>
    </w:p>
    <w:p w:rsidR="00F36FB7" w:rsidRDefault="00F36FB7" w:rsidP="00F36FB7">
      <w:pPr>
        <w:spacing w:after="0" w:line="360" w:lineRule="auto"/>
        <w:rPr>
          <w:rFonts w:ascii="Arial" w:hAnsi="Arial" w:cs="Arial"/>
          <w:sz w:val="24"/>
          <w:szCs w:val="24"/>
        </w:rPr>
      </w:pPr>
      <w:r>
        <w:rPr>
          <w:rFonts w:ascii="Arial" w:hAnsi="Arial" w:cs="Arial"/>
          <w:sz w:val="24"/>
          <w:szCs w:val="24"/>
        </w:rPr>
        <w:lastRenderedPageBreak/>
        <w:t>The purpose of this report is to provide a summary of how alcohol might affect the area, based on evidence gathered for a larger report on overprovision. Data for the area is available in terms of licensed premises, alcohol-related hospital admissions, fires in which alcohol or drugs are recorded, road traffic accidents, and alcohol-related crimes.</w:t>
      </w:r>
    </w:p>
    <w:p w:rsidR="00F36FB7" w:rsidRDefault="00F36FB7" w:rsidP="00F36FB7">
      <w:pPr>
        <w:spacing w:after="0" w:line="360" w:lineRule="auto"/>
        <w:rPr>
          <w:rFonts w:ascii="Arial" w:hAnsi="Arial" w:cs="Arial"/>
          <w:sz w:val="24"/>
          <w:szCs w:val="24"/>
        </w:rPr>
      </w:pPr>
    </w:p>
    <w:p w:rsidR="00F36FB7" w:rsidRPr="00370EBD" w:rsidRDefault="00F36FB7" w:rsidP="00F36FB7">
      <w:pPr>
        <w:spacing w:after="0" w:line="360" w:lineRule="auto"/>
        <w:rPr>
          <w:rFonts w:ascii="Arial" w:hAnsi="Arial" w:cs="Arial"/>
          <w:b/>
          <w:sz w:val="24"/>
          <w:szCs w:val="24"/>
        </w:rPr>
      </w:pPr>
      <w:r w:rsidRPr="00370EBD">
        <w:rPr>
          <w:rFonts w:ascii="Arial" w:hAnsi="Arial" w:cs="Arial"/>
          <w:b/>
          <w:sz w:val="24"/>
          <w:szCs w:val="24"/>
        </w:rPr>
        <w:t>Profile – Edinburgh City</w:t>
      </w:r>
    </w:p>
    <w:p w:rsidR="00F36FB7" w:rsidRDefault="00F36FB7" w:rsidP="00F36FB7">
      <w:pPr>
        <w:pStyle w:val="ListParagraph"/>
        <w:numPr>
          <w:ilvl w:val="0"/>
          <w:numId w:val="2"/>
        </w:numPr>
        <w:spacing w:line="360" w:lineRule="auto"/>
        <w:rPr>
          <w:rFonts w:ascii="Arial" w:hAnsi="Arial" w:cs="Arial"/>
          <w:sz w:val="24"/>
          <w:szCs w:val="24"/>
        </w:rPr>
      </w:pPr>
      <w:r w:rsidRPr="009E38E7">
        <w:rPr>
          <w:rFonts w:ascii="Arial" w:hAnsi="Arial" w:cs="Arial"/>
          <w:sz w:val="24"/>
          <w:szCs w:val="24"/>
        </w:rPr>
        <w:t>Edinburgh has a high rate of licensed premises, with 39.0 licensed premises per 10,000</w:t>
      </w:r>
      <w:r>
        <w:rPr>
          <w:rFonts w:ascii="Arial" w:hAnsi="Arial" w:cs="Arial"/>
          <w:sz w:val="24"/>
          <w:szCs w:val="24"/>
        </w:rPr>
        <w:t xml:space="preserve"> residents.</w:t>
      </w:r>
    </w:p>
    <w:p w:rsidR="00F36FB7" w:rsidRPr="00CA63B2" w:rsidRDefault="00F36FB7" w:rsidP="00F36FB7">
      <w:pPr>
        <w:pStyle w:val="ListParagraph"/>
        <w:spacing w:line="360" w:lineRule="auto"/>
        <w:ind w:left="360"/>
        <w:rPr>
          <w:rFonts w:ascii="Arial" w:hAnsi="Arial" w:cs="Arial"/>
          <w:sz w:val="24"/>
          <w:szCs w:val="24"/>
        </w:rPr>
      </w:pPr>
    </w:p>
    <w:p w:rsidR="00F36FB7" w:rsidRDefault="00F36FB7" w:rsidP="00F36FB7">
      <w:pPr>
        <w:pStyle w:val="ListParagraph"/>
        <w:numPr>
          <w:ilvl w:val="0"/>
          <w:numId w:val="1"/>
        </w:numPr>
        <w:spacing w:line="360" w:lineRule="auto"/>
        <w:contextualSpacing/>
        <w:rPr>
          <w:rFonts w:ascii="Arial" w:hAnsi="Arial" w:cs="Arial"/>
          <w:sz w:val="24"/>
          <w:szCs w:val="24"/>
        </w:rPr>
      </w:pPr>
      <w:r w:rsidRPr="00E20374">
        <w:rPr>
          <w:rFonts w:ascii="Arial" w:hAnsi="Arial" w:cs="Arial"/>
          <w:sz w:val="24"/>
          <w:szCs w:val="24"/>
        </w:rPr>
        <w:t>47%</w:t>
      </w:r>
      <w:r>
        <w:rPr>
          <w:rFonts w:ascii="Arial" w:hAnsi="Arial" w:cs="Arial"/>
          <w:sz w:val="24"/>
          <w:szCs w:val="24"/>
        </w:rPr>
        <w:t xml:space="preserve"> </w:t>
      </w:r>
      <w:r w:rsidRPr="00E20374">
        <w:rPr>
          <w:rFonts w:ascii="Arial" w:hAnsi="Arial" w:cs="Arial"/>
          <w:sz w:val="24"/>
          <w:szCs w:val="24"/>
        </w:rPr>
        <w:t>of adults in Edinburgh report drinking outwith the Government guideline</w:t>
      </w:r>
      <w:r>
        <w:rPr>
          <w:rFonts w:ascii="Arial" w:hAnsi="Arial" w:cs="Arial"/>
          <w:sz w:val="24"/>
          <w:szCs w:val="24"/>
        </w:rPr>
        <w:t xml:space="preserve">s. </w:t>
      </w:r>
    </w:p>
    <w:p w:rsidR="00F36FB7" w:rsidRPr="00CA63B2" w:rsidRDefault="00F36FB7" w:rsidP="00F36FB7">
      <w:pPr>
        <w:pStyle w:val="ListParagraph"/>
        <w:spacing w:line="360" w:lineRule="auto"/>
        <w:ind w:left="360"/>
        <w:contextualSpacing/>
        <w:rPr>
          <w:rFonts w:ascii="Arial" w:hAnsi="Arial" w:cs="Arial"/>
          <w:sz w:val="24"/>
          <w:szCs w:val="24"/>
        </w:rPr>
      </w:pPr>
    </w:p>
    <w:p w:rsidR="00F36FB7" w:rsidRDefault="00F36FB7" w:rsidP="00F36FB7">
      <w:pPr>
        <w:pStyle w:val="ListParagraph"/>
        <w:numPr>
          <w:ilvl w:val="0"/>
          <w:numId w:val="1"/>
        </w:numPr>
        <w:spacing w:line="360" w:lineRule="auto"/>
        <w:contextualSpacing/>
        <w:rPr>
          <w:rFonts w:ascii="Arial" w:hAnsi="Arial" w:cs="Arial"/>
          <w:sz w:val="24"/>
          <w:szCs w:val="24"/>
        </w:rPr>
      </w:pPr>
      <w:r>
        <w:rPr>
          <w:rFonts w:ascii="Arial" w:hAnsi="Arial" w:cs="Arial"/>
          <w:sz w:val="24"/>
          <w:szCs w:val="24"/>
        </w:rPr>
        <w:t>Y</w:t>
      </w:r>
      <w:r w:rsidRPr="00E20374">
        <w:rPr>
          <w:rFonts w:ascii="Arial" w:hAnsi="Arial" w:cs="Arial"/>
          <w:sz w:val="24"/>
          <w:szCs w:val="24"/>
        </w:rPr>
        <w:t xml:space="preserve">oung people in Edinburgh are more likely to report binge drinking than the rest of Scotland. </w:t>
      </w:r>
    </w:p>
    <w:p w:rsidR="00F36FB7" w:rsidRPr="00E20374" w:rsidRDefault="00F36FB7" w:rsidP="00F36FB7">
      <w:pPr>
        <w:pStyle w:val="ListParagraph"/>
        <w:spacing w:line="360" w:lineRule="auto"/>
        <w:rPr>
          <w:rFonts w:ascii="Arial" w:hAnsi="Arial" w:cs="Arial"/>
          <w:sz w:val="24"/>
          <w:szCs w:val="24"/>
        </w:rPr>
      </w:pPr>
    </w:p>
    <w:p w:rsidR="00F36FB7" w:rsidRDefault="00F36FB7" w:rsidP="00F36FB7">
      <w:pPr>
        <w:pStyle w:val="ListParagraph"/>
        <w:numPr>
          <w:ilvl w:val="0"/>
          <w:numId w:val="1"/>
        </w:numPr>
        <w:spacing w:line="360" w:lineRule="auto"/>
        <w:contextualSpacing/>
        <w:rPr>
          <w:rFonts w:ascii="Arial" w:hAnsi="Arial" w:cs="Arial"/>
          <w:sz w:val="24"/>
          <w:szCs w:val="24"/>
        </w:rPr>
      </w:pPr>
      <w:r>
        <w:rPr>
          <w:rFonts w:ascii="Arial" w:hAnsi="Arial" w:cs="Arial"/>
          <w:sz w:val="24"/>
          <w:szCs w:val="24"/>
        </w:rPr>
        <w:t xml:space="preserve">Pedestrians who are drunk are more likely to be involved in a collision in areas with higher provision of licensed premises, particularly the City Centre.  </w:t>
      </w:r>
    </w:p>
    <w:p w:rsidR="00F36FB7" w:rsidRPr="00E20374" w:rsidRDefault="00F36FB7" w:rsidP="00F36FB7">
      <w:pPr>
        <w:pStyle w:val="ListParagraph"/>
        <w:spacing w:line="360" w:lineRule="auto"/>
        <w:rPr>
          <w:rFonts w:ascii="Arial" w:hAnsi="Arial" w:cs="Arial"/>
          <w:sz w:val="24"/>
          <w:szCs w:val="24"/>
        </w:rPr>
      </w:pPr>
    </w:p>
    <w:p w:rsidR="00F36FB7" w:rsidRDefault="00F36FB7" w:rsidP="00F36FB7">
      <w:pPr>
        <w:pStyle w:val="ListParagraph"/>
        <w:numPr>
          <w:ilvl w:val="0"/>
          <w:numId w:val="1"/>
        </w:numPr>
        <w:spacing w:line="360" w:lineRule="auto"/>
        <w:contextualSpacing/>
        <w:rPr>
          <w:rFonts w:ascii="Arial" w:hAnsi="Arial" w:cs="Arial"/>
          <w:sz w:val="24"/>
          <w:szCs w:val="24"/>
        </w:rPr>
      </w:pPr>
      <w:r>
        <w:rPr>
          <w:rFonts w:ascii="Arial" w:hAnsi="Arial" w:cs="Arial"/>
          <w:sz w:val="24"/>
          <w:szCs w:val="24"/>
        </w:rPr>
        <w:t>A</w:t>
      </w:r>
      <w:r w:rsidRPr="00E20374">
        <w:rPr>
          <w:rFonts w:ascii="Arial" w:hAnsi="Arial" w:cs="Arial"/>
          <w:sz w:val="24"/>
          <w:szCs w:val="24"/>
        </w:rPr>
        <w:t>lcohol-related discharges in Edinburgh are higher than in Midlothian and East Lothian, where they are reducing. In Edinburgh, 91% of all alcohol-related hospital admissions were emergency admissions, with a peak in admissions on Sundays</w:t>
      </w:r>
      <w:r>
        <w:rPr>
          <w:rFonts w:ascii="Arial" w:hAnsi="Arial" w:cs="Arial"/>
          <w:sz w:val="24"/>
          <w:szCs w:val="24"/>
        </w:rPr>
        <w:t xml:space="preserve">. </w:t>
      </w:r>
    </w:p>
    <w:p w:rsidR="00F36FB7" w:rsidRPr="00025169" w:rsidRDefault="00F36FB7" w:rsidP="00F36FB7">
      <w:pPr>
        <w:pStyle w:val="ListParagraph"/>
        <w:spacing w:line="360" w:lineRule="auto"/>
        <w:rPr>
          <w:rFonts w:ascii="Arial" w:hAnsi="Arial" w:cs="Arial"/>
          <w:sz w:val="24"/>
          <w:szCs w:val="24"/>
        </w:rPr>
      </w:pPr>
    </w:p>
    <w:p w:rsidR="00F36FB7" w:rsidRPr="006435F9" w:rsidRDefault="00F36FB7" w:rsidP="00F36FB7">
      <w:pPr>
        <w:pStyle w:val="ListParagraph"/>
        <w:numPr>
          <w:ilvl w:val="0"/>
          <w:numId w:val="1"/>
        </w:numPr>
        <w:spacing w:line="360" w:lineRule="auto"/>
        <w:contextualSpacing/>
        <w:rPr>
          <w:rFonts w:ascii="Arial" w:hAnsi="Arial" w:cs="Arial"/>
          <w:sz w:val="24"/>
          <w:szCs w:val="24"/>
        </w:rPr>
      </w:pPr>
      <w:r>
        <w:rPr>
          <w:rFonts w:ascii="Arial" w:hAnsi="Arial" w:cs="Arial"/>
          <w:sz w:val="24"/>
          <w:szCs w:val="24"/>
        </w:rPr>
        <w:t>Edinburgh has the highest mortality rate for deaths in which alcohol is the main cause (such as alcoholic liver disease) and for those in which it is a factor (such as certain cancers)</w:t>
      </w:r>
      <w:r>
        <w:rPr>
          <w:rFonts w:ascii="Arial" w:hAnsi="Arial" w:cs="Arial"/>
          <w:i/>
          <w:sz w:val="24"/>
          <w:szCs w:val="24"/>
        </w:rPr>
        <w:t>.</w:t>
      </w:r>
    </w:p>
    <w:p w:rsidR="00F36FB7" w:rsidRPr="006435F9" w:rsidRDefault="00F36FB7" w:rsidP="00F36FB7">
      <w:pPr>
        <w:pStyle w:val="ListParagraph"/>
        <w:spacing w:line="360" w:lineRule="auto"/>
        <w:rPr>
          <w:rFonts w:ascii="Arial" w:hAnsi="Arial" w:cs="Arial"/>
          <w:sz w:val="24"/>
          <w:szCs w:val="24"/>
        </w:rPr>
      </w:pPr>
    </w:p>
    <w:p w:rsidR="00F36FB7" w:rsidRDefault="00F36FB7" w:rsidP="00F36FB7">
      <w:pPr>
        <w:pStyle w:val="ListParagraph"/>
        <w:numPr>
          <w:ilvl w:val="0"/>
          <w:numId w:val="1"/>
        </w:numPr>
        <w:spacing w:line="360" w:lineRule="auto"/>
        <w:contextualSpacing/>
        <w:rPr>
          <w:rFonts w:ascii="Arial" w:hAnsi="Arial" w:cs="Arial"/>
          <w:sz w:val="24"/>
          <w:szCs w:val="24"/>
        </w:rPr>
      </w:pPr>
      <w:r w:rsidRPr="00B72553">
        <w:rPr>
          <w:rFonts w:ascii="Arial" w:hAnsi="Arial" w:cs="Arial"/>
          <w:sz w:val="24"/>
          <w:szCs w:val="24"/>
        </w:rPr>
        <w:t xml:space="preserve">Edinburgh has the highest number of assaults to ambulance staff, making it the “most dangerous place” for paramedics in Scotland. </w:t>
      </w:r>
    </w:p>
    <w:p w:rsidR="00F36FB7" w:rsidRPr="00B72553" w:rsidRDefault="00F36FB7" w:rsidP="00F36FB7">
      <w:pPr>
        <w:pStyle w:val="ListParagraph"/>
        <w:spacing w:line="360" w:lineRule="auto"/>
        <w:rPr>
          <w:rFonts w:ascii="Arial" w:hAnsi="Arial" w:cs="Arial"/>
          <w:sz w:val="24"/>
          <w:szCs w:val="24"/>
        </w:rPr>
      </w:pPr>
    </w:p>
    <w:p w:rsidR="00F36FB7" w:rsidRDefault="00F36FB7" w:rsidP="00F36FB7">
      <w:pPr>
        <w:pStyle w:val="ListParagraph"/>
        <w:numPr>
          <w:ilvl w:val="0"/>
          <w:numId w:val="1"/>
        </w:numPr>
        <w:spacing w:line="360" w:lineRule="auto"/>
        <w:contextualSpacing/>
        <w:rPr>
          <w:rFonts w:ascii="Arial" w:hAnsi="Arial" w:cs="Arial"/>
          <w:sz w:val="24"/>
          <w:szCs w:val="24"/>
        </w:rPr>
      </w:pPr>
      <w:r>
        <w:rPr>
          <w:rFonts w:ascii="Arial" w:hAnsi="Arial" w:cs="Arial"/>
          <w:sz w:val="24"/>
          <w:szCs w:val="24"/>
        </w:rPr>
        <w:t>There are s</w:t>
      </w:r>
      <w:r w:rsidRPr="00B618C0">
        <w:rPr>
          <w:rFonts w:ascii="Arial" w:hAnsi="Arial" w:cs="Arial"/>
          <w:sz w:val="24"/>
          <w:szCs w:val="24"/>
        </w:rPr>
        <w:t xml:space="preserve">even areas which have high rates of on-sales and off-sales premises, alcohol-related hospital admissions and alcohol-related crimes. </w:t>
      </w:r>
    </w:p>
    <w:p w:rsidR="00F36FB7" w:rsidRPr="00F36FB7" w:rsidRDefault="00F36FB7" w:rsidP="00F36FB7">
      <w:pPr>
        <w:pStyle w:val="ListParagraph"/>
        <w:rPr>
          <w:rFonts w:ascii="Arial" w:hAnsi="Arial" w:cs="Arial"/>
          <w:sz w:val="24"/>
          <w:szCs w:val="24"/>
        </w:rPr>
      </w:pPr>
    </w:p>
    <w:p w:rsidR="00F36FB7" w:rsidRDefault="00F36FB7" w:rsidP="00F36FB7">
      <w:pPr>
        <w:spacing w:line="360" w:lineRule="auto"/>
        <w:contextualSpacing/>
        <w:rPr>
          <w:rFonts w:ascii="Arial" w:hAnsi="Arial" w:cs="Arial"/>
          <w:sz w:val="24"/>
          <w:szCs w:val="24"/>
        </w:rPr>
      </w:pPr>
    </w:p>
    <w:p w:rsidR="00F36FB7" w:rsidRPr="00F36FB7" w:rsidRDefault="00F36FB7" w:rsidP="00F36FB7">
      <w:pPr>
        <w:spacing w:line="360" w:lineRule="auto"/>
        <w:contextualSpacing/>
        <w:rPr>
          <w:rFonts w:ascii="Arial" w:hAnsi="Arial" w:cs="Arial"/>
          <w:b/>
          <w:sz w:val="24"/>
          <w:szCs w:val="24"/>
        </w:rPr>
      </w:pPr>
      <w:r w:rsidRPr="00F36FB7">
        <w:rPr>
          <w:rFonts w:ascii="Arial" w:hAnsi="Arial" w:cs="Arial"/>
          <w:b/>
          <w:sz w:val="24"/>
          <w:szCs w:val="24"/>
        </w:rPr>
        <w:t>Profile – Portobello/Craigmillar</w:t>
      </w:r>
    </w:p>
    <w:p w:rsidR="00B8208C" w:rsidRDefault="00F36FB7" w:rsidP="00B8208C">
      <w:pPr>
        <w:pStyle w:val="ListParagraph"/>
        <w:numPr>
          <w:ilvl w:val="0"/>
          <w:numId w:val="4"/>
        </w:numPr>
        <w:spacing w:line="360" w:lineRule="auto"/>
        <w:contextualSpacing/>
        <w:rPr>
          <w:rFonts w:ascii="Arial" w:hAnsi="Arial" w:cs="Arial"/>
          <w:sz w:val="24"/>
          <w:szCs w:val="24"/>
        </w:rPr>
      </w:pPr>
      <w:r w:rsidRPr="00F36FB7">
        <w:rPr>
          <w:rFonts w:ascii="Arial" w:hAnsi="Arial" w:cs="Arial"/>
          <w:sz w:val="24"/>
          <w:szCs w:val="24"/>
        </w:rPr>
        <w:t xml:space="preserve">There are a total of 68 licensed premises in Portobello/Craigmillar, 38 </w:t>
      </w:r>
      <w:r>
        <w:rPr>
          <w:rFonts w:ascii="Arial" w:hAnsi="Arial" w:cs="Arial"/>
          <w:sz w:val="24"/>
          <w:szCs w:val="24"/>
        </w:rPr>
        <w:t>o</w:t>
      </w:r>
      <w:r w:rsidRPr="00F36FB7">
        <w:rPr>
          <w:rFonts w:ascii="Arial" w:hAnsi="Arial" w:cs="Arial"/>
          <w:sz w:val="24"/>
          <w:szCs w:val="24"/>
        </w:rPr>
        <w:t xml:space="preserve">n-sales (of which </w:t>
      </w:r>
      <w:r>
        <w:rPr>
          <w:rFonts w:ascii="Arial" w:hAnsi="Arial" w:cs="Arial"/>
          <w:sz w:val="24"/>
          <w:szCs w:val="24"/>
        </w:rPr>
        <w:t>12</w:t>
      </w:r>
      <w:r w:rsidRPr="00F36FB7">
        <w:rPr>
          <w:rFonts w:ascii="Arial" w:hAnsi="Arial" w:cs="Arial"/>
          <w:sz w:val="24"/>
          <w:szCs w:val="24"/>
        </w:rPr>
        <w:t xml:space="preserve"> are pubs) and </w:t>
      </w:r>
      <w:r>
        <w:rPr>
          <w:rFonts w:ascii="Arial" w:hAnsi="Arial" w:cs="Arial"/>
          <w:sz w:val="24"/>
          <w:szCs w:val="24"/>
        </w:rPr>
        <w:t xml:space="preserve">30 </w:t>
      </w:r>
      <w:r w:rsidRPr="00F36FB7">
        <w:rPr>
          <w:rFonts w:ascii="Arial" w:hAnsi="Arial" w:cs="Arial"/>
          <w:sz w:val="24"/>
          <w:szCs w:val="24"/>
        </w:rPr>
        <w:t xml:space="preserve">off-sales (of which </w:t>
      </w:r>
      <w:r>
        <w:rPr>
          <w:rFonts w:ascii="Arial" w:hAnsi="Arial" w:cs="Arial"/>
          <w:sz w:val="24"/>
          <w:szCs w:val="24"/>
        </w:rPr>
        <w:t>14</w:t>
      </w:r>
      <w:r w:rsidRPr="00F36FB7">
        <w:rPr>
          <w:rFonts w:ascii="Arial" w:hAnsi="Arial" w:cs="Arial"/>
          <w:sz w:val="24"/>
          <w:szCs w:val="24"/>
        </w:rPr>
        <w:t xml:space="preserve"> are convenience stores)</w:t>
      </w:r>
    </w:p>
    <w:p w:rsidR="00B8208C" w:rsidRPr="00B8208C" w:rsidRDefault="00B8208C" w:rsidP="00B8208C">
      <w:pPr>
        <w:pStyle w:val="ListParagraph"/>
        <w:spacing w:line="360" w:lineRule="auto"/>
        <w:ind w:left="360"/>
        <w:contextualSpacing/>
        <w:rPr>
          <w:rFonts w:ascii="Arial" w:hAnsi="Arial" w:cs="Arial"/>
          <w:sz w:val="24"/>
          <w:szCs w:val="24"/>
        </w:rPr>
      </w:pPr>
    </w:p>
    <w:p w:rsidR="00C324D4" w:rsidRDefault="00C324D4" w:rsidP="00C324D4">
      <w:pPr>
        <w:pStyle w:val="ListParagraph"/>
        <w:numPr>
          <w:ilvl w:val="0"/>
          <w:numId w:val="4"/>
        </w:numPr>
        <w:spacing w:line="360" w:lineRule="auto"/>
        <w:contextualSpacing/>
        <w:rPr>
          <w:rFonts w:ascii="Arial" w:hAnsi="Arial" w:cs="Arial"/>
          <w:sz w:val="24"/>
          <w:szCs w:val="24"/>
        </w:rPr>
      </w:pPr>
      <w:r w:rsidRPr="007765A3">
        <w:rPr>
          <w:rFonts w:ascii="Arial" w:hAnsi="Arial" w:cs="Arial"/>
          <w:sz w:val="24"/>
          <w:szCs w:val="24"/>
        </w:rPr>
        <w:t xml:space="preserve">There are </w:t>
      </w:r>
      <w:r>
        <w:rPr>
          <w:rFonts w:ascii="Arial" w:hAnsi="Arial" w:cs="Arial"/>
          <w:sz w:val="24"/>
          <w:szCs w:val="24"/>
        </w:rPr>
        <w:t>17.5</w:t>
      </w:r>
      <w:r w:rsidRPr="007765A3">
        <w:rPr>
          <w:rFonts w:ascii="Arial" w:hAnsi="Arial" w:cs="Arial"/>
          <w:sz w:val="24"/>
          <w:szCs w:val="24"/>
        </w:rPr>
        <w:t xml:space="preserve"> on-sales premises per 10,000 residents over the age of 18, which is lower than the Edinburgh rate of 39.0; there are </w:t>
      </w:r>
      <w:r>
        <w:rPr>
          <w:rFonts w:ascii="Arial" w:hAnsi="Arial" w:cs="Arial"/>
          <w:sz w:val="24"/>
          <w:szCs w:val="24"/>
        </w:rPr>
        <w:t>13.8</w:t>
      </w:r>
      <w:r w:rsidRPr="007765A3">
        <w:rPr>
          <w:rFonts w:ascii="Arial" w:hAnsi="Arial" w:cs="Arial"/>
          <w:sz w:val="24"/>
          <w:szCs w:val="24"/>
        </w:rPr>
        <w:t xml:space="preserve"> off-sales premises per 10,000 residents which is </w:t>
      </w:r>
      <w:r>
        <w:rPr>
          <w:rFonts w:ascii="Arial" w:hAnsi="Arial" w:cs="Arial"/>
          <w:sz w:val="24"/>
          <w:szCs w:val="24"/>
        </w:rPr>
        <w:t>higher</w:t>
      </w:r>
      <w:r w:rsidRPr="007765A3">
        <w:rPr>
          <w:rFonts w:ascii="Arial" w:hAnsi="Arial" w:cs="Arial"/>
          <w:sz w:val="24"/>
          <w:szCs w:val="24"/>
        </w:rPr>
        <w:t xml:space="preserve"> than the rate for Edinburgh of 10.4 </w:t>
      </w:r>
    </w:p>
    <w:p w:rsidR="00C324D4" w:rsidRPr="00EC6A8F" w:rsidRDefault="00C324D4" w:rsidP="00C324D4">
      <w:pPr>
        <w:spacing w:after="0" w:line="360" w:lineRule="auto"/>
        <w:contextualSpacing/>
        <w:rPr>
          <w:rFonts w:ascii="Arial" w:hAnsi="Arial" w:cs="Arial"/>
          <w:sz w:val="24"/>
          <w:szCs w:val="24"/>
        </w:rPr>
      </w:pPr>
    </w:p>
    <w:p w:rsidR="00C324D4" w:rsidRDefault="00C324D4" w:rsidP="00C324D4">
      <w:pPr>
        <w:pStyle w:val="ListParagraph"/>
        <w:numPr>
          <w:ilvl w:val="0"/>
          <w:numId w:val="4"/>
        </w:numPr>
        <w:spacing w:line="360" w:lineRule="auto"/>
        <w:contextualSpacing/>
        <w:rPr>
          <w:rFonts w:ascii="Arial" w:hAnsi="Arial" w:cs="Arial"/>
          <w:sz w:val="24"/>
          <w:szCs w:val="24"/>
        </w:rPr>
      </w:pPr>
      <w:r>
        <w:rPr>
          <w:rFonts w:ascii="Arial" w:hAnsi="Arial" w:cs="Arial"/>
          <w:sz w:val="24"/>
          <w:szCs w:val="24"/>
        </w:rPr>
        <w:t>Portobello/Craigmillar has</w:t>
      </w:r>
      <w:r w:rsidR="00574392">
        <w:rPr>
          <w:rFonts w:ascii="Arial" w:hAnsi="Arial" w:cs="Arial"/>
          <w:sz w:val="24"/>
          <w:szCs w:val="24"/>
        </w:rPr>
        <w:t xml:space="preserve"> </w:t>
      </w:r>
      <w:r>
        <w:rPr>
          <w:rFonts w:ascii="Arial" w:hAnsi="Arial" w:cs="Arial"/>
          <w:sz w:val="24"/>
          <w:szCs w:val="24"/>
        </w:rPr>
        <w:t>higher alcohol-related hospital admissions rates per 10,000 residents than the Edinburgh average</w:t>
      </w:r>
      <w:r w:rsidR="00616BBA">
        <w:rPr>
          <w:rFonts w:ascii="Arial" w:hAnsi="Arial" w:cs="Arial"/>
          <w:sz w:val="24"/>
          <w:szCs w:val="24"/>
        </w:rPr>
        <w:t xml:space="preserve"> (134.8 per 10,000 residents compared to 89.4)</w:t>
      </w:r>
      <w:r>
        <w:rPr>
          <w:rFonts w:ascii="Arial" w:hAnsi="Arial" w:cs="Arial"/>
          <w:sz w:val="24"/>
          <w:szCs w:val="24"/>
        </w:rPr>
        <w:t xml:space="preserve">, </w:t>
      </w:r>
      <w:r w:rsidR="00627D05">
        <w:rPr>
          <w:rFonts w:ascii="Arial" w:hAnsi="Arial" w:cs="Arial"/>
          <w:sz w:val="24"/>
          <w:szCs w:val="24"/>
        </w:rPr>
        <w:t>and has</w:t>
      </w:r>
      <w:r w:rsidR="00574392">
        <w:rPr>
          <w:rFonts w:ascii="Arial" w:hAnsi="Arial" w:cs="Arial"/>
          <w:sz w:val="24"/>
          <w:szCs w:val="24"/>
        </w:rPr>
        <w:t xml:space="preserve"> the highest rate </w:t>
      </w:r>
      <w:r w:rsidR="00627D05">
        <w:rPr>
          <w:rFonts w:ascii="Arial" w:hAnsi="Arial" w:cs="Arial"/>
          <w:sz w:val="24"/>
          <w:szCs w:val="24"/>
        </w:rPr>
        <w:t>in the city</w:t>
      </w:r>
      <w:r w:rsidR="00574392">
        <w:rPr>
          <w:rFonts w:ascii="Arial" w:hAnsi="Arial" w:cs="Arial"/>
          <w:sz w:val="24"/>
          <w:szCs w:val="24"/>
        </w:rPr>
        <w:t xml:space="preserve">, </w:t>
      </w:r>
      <w:r>
        <w:rPr>
          <w:rFonts w:ascii="Arial" w:hAnsi="Arial" w:cs="Arial"/>
          <w:sz w:val="24"/>
          <w:szCs w:val="24"/>
        </w:rPr>
        <w:t>as shown in figure 1</w:t>
      </w:r>
    </w:p>
    <w:p w:rsidR="00616BBA" w:rsidRDefault="00616BBA" w:rsidP="00616BBA">
      <w:pPr>
        <w:rPr>
          <w:rFonts w:ascii="Arial" w:hAnsi="Arial" w:cs="Arial"/>
          <w:b/>
          <w:sz w:val="24"/>
          <w:szCs w:val="24"/>
        </w:rPr>
      </w:pPr>
    </w:p>
    <w:p w:rsidR="00616BBA" w:rsidRDefault="00616BBA" w:rsidP="00616BBA">
      <w:pPr>
        <w:spacing w:after="0"/>
        <w:rPr>
          <w:rFonts w:ascii="Arial" w:hAnsi="Arial" w:cs="Arial"/>
          <w:i/>
          <w:sz w:val="24"/>
          <w:szCs w:val="24"/>
        </w:rPr>
      </w:pPr>
      <w:r w:rsidRPr="00616BBA">
        <w:rPr>
          <w:rFonts w:ascii="Arial" w:hAnsi="Arial" w:cs="Arial"/>
          <w:b/>
          <w:sz w:val="24"/>
          <w:szCs w:val="24"/>
        </w:rPr>
        <w:t xml:space="preserve">Figure 1. Alcohol-related hospital admissions per 10,000 of the population by neighbourhood partnership area and Edinburgh average </w:t>
      </w:r>
      <w:r w:rsidRPr="00616BBA">
        <w:rPr>
          <w:rFonts w:ascii="Arial" w:hAnsi="Arial" w:cs="Arial"/>
          <w:sz w:val="24"/>
          <w:szCs w:val="24"/>
        </w:rPr>
        <w:t>(</w:t>
      </w:r>
      <w:r w:rsidRPr="00616BBA">
        <w:rPr>
          <w:rFonts w:ascii="Arial" w:hAnsi="Arial" w:cs="Arial"/>
          <w:i/>
          <w:sz w:val="24"/>
          <w:szCs w:val="24"/>
        </w:rPr>
        <w:t>GROS/ScotPHO/HIU)</w:t>
      </w:r>
    </w:p>
    <w:p w:rsidR="00AA38E4" w:rsidRPr="00616BBA" w:rsidRDefault="00AA38E4" w:rsidP="00616BBA">
      <w:pPr>
        <w:spacing w:after="0"/>
        <w:rPr>
          <w:rFonts w:ascii="Arial" w:hAnsi="Arial" w:cs="Arial"/>
          <w:i/>
          <w:sz w:val="24"/>
          <w:szCs w:val="24"/>
        </w:rPr>
      </w:pPr>
    </w:p>
    <w:p w:rsidR="00F36FB7" w:rsidRPr="00616BBA" w:rsidRDefault="00AA38E4" w:rsidP="00AA38E4">
      <w:pPr>
        <w:pStyle w:val="ListParagraph"/>
        <w:spacing w:line="360" w:lineRule="auto"/>
        <w:ind w:left="360"/>
        <w:contextualSpacing/>
        <w:rPr>
          <w:rFonts w:ascii="Arial" w:hAnsi="Arial" w:cs="Arial"/>
          <w:sz w:val="24"/>
          <w:szCs w:val="24"/>
        </w:rPr>
      </w:pPr>
      <w:r w:rsidRPr="00AA38E4">
        <w:rPr>
          <w:rFonts w:ascii="Arial" w:hAnsi="Arial" w:cs="Arial"/>
          <w:noProof/>
          <w:sz w:val="24"/>
          <w:szCs w:val="24"/>
        </w:rPr>
        <w:drawing>
          <wp:inline distT="0" distB="0" distL="0" distR="0">
            <wp:extent cx="5791200" cy="3638550"/>
            <wp:effectExtent l="19050" t="0" r="19050"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24D4" w:rsidRDefault="00C324D4">
      <w:pPr>
        <w:rPr>
          <w:rFonts w:ascii="Arial" w:hAnsi="Arial" w:cs="Arial"/>
          <w:sz w:val="24"/>
          <w:szCs w:val="24"/>
        </w:rPr>
      </w:pPr>
    </w:p>
    <w:p w:rsidR="00616BBA" w:rsidRPr="00616BBA" w:rsidRDefault="00616BBA" w:rsidP="00616BBA">
      <w:pPr>
        <w:pStyle w:val="ListParagraph"/>
        <w:numPr>
          <w:ilvl w:val="0"/>
          <w:numId w:val="4"/>
        </w:numPr>
        <w:spacing w:line="360" w:lineRule="auto"/>
        <w:ind w:left="357" w:hanging="357"/>
        <w:contextualSpacing/>
      </w:pPr>
      <w:r w:rsidRPr="00616BBA">
        <w:rPr>
          <w:rFonts w:ascii="Arial" w:hAnsi="Arial" w:cs="Arial"/>
          <w:sz w:val="24"/>
          <w:szCs w:val="24"/>
        </w:rPr>
        <w:t xml:space="preserve">Alcohol-related hospital admissions per 10,000 residents are much higher in </w:t>
      </w:r>
      <w:r>
        <w:rPr>
          <w:rFonts w:ascii="Arial" w:hAnsi="Arial" w:cs="Arial"/>
          <w:sz w:val="24"/>
          <w:szCs w:val="24"/>
        </w:rPr>
        <w:t>Greendykes &amp; Niddrie Main</w:t>
      </w:r>
      <w:r w:rsidR="00F5492B">
        <w:rPr>
          <w:rFonts w:ascii="Arial" w:hAnsi="Arial" w:cs="Arial"/>
          <w:sz w:val="24"/>
          <w:szCs w:val="24"/>
        </w:rPr>
        <w:t>s</w:t>
      </w:r>
      <w:r>
        <w:rPr>
          <w:rFonts w:ascii="Arial" w:hAnsi="Arial" w:cs="Arial"/>
          <w:sz w:val="24"/>
          <w:szCs w:val="24"/>
        </w:rPr>
        <w:t xml:space="preserve"> (215.3), Niddrie (201.3)</w:t>
      </w:r>
      <w:r w:rsidR="00F5492B">
        <w:rPr>
          <w:rFonts w:ascii="Arial" w:hAnsi="Arial" w:cs="Arial"/>
          <w:sz w:val="24"/>
          <w:szCs w:val="24"/>
        </w:rPr>
        <w:t xml:space="preserve"> and</w:t>
      </w:r>
      <w:r>
        <w:rPr>
          <w:rFonts w:ascii="Arial" w:hAnsi="Arial" w:cs="Arial"/>
          <w:sz w:val="24"/>
          <w:szCs w:val="24"/>
        </w:rPr>
        <w:t xml:space="preserve"> Bingham, Magdalene &amp; The Christians (185.8)</w:t>
      </w:r>
    </w:p>
    <w:p w:rsidR="00616BBA" w:rsidRDefault="00616BBA" w:rsidP="00616BBA">
      <w:pPr>
        <w:pStyle w:val="ListParagraph"/>
        <w:numPr>
          <w:ilvl w:val="0"/>
          <w:numId w:val="4"/>
        </w:numPr>
        <w:spacing w:line="360" w:lineRule="auto"/>
        <w:contextualSpacing/>
        <w:rPr>
          <w:rFonts w:ascii="Arial" w:hAnsi="Arial" w:cs="Arial"/>
          <w:sz w:val="24"/>
          <w:szCs w:val="24"/>
        </w:rPr>
      </w:pPr>
      <w:r>
        <w:rPr>
          <w:rFonts w:ascii="Arial" w:hAnsi="Arial" w:cs="Arial"/>
          <w:sz w:val="24"/>
          <w:szCs w:val="24"/>
        </w:rPr>
        <w:t>Of the 77 fires that occurred in Edinburgh where people were suspected to be under the influence, 25 (32%) occurred in Portobello/Craigmillar, of whom 14 (56%) were injured or had to be rescued. The only fatality occurred in Portobello/Craigmillar.</w:t>
      </w:r>
    </w:p>
    <w:p w:rsidR="00616BBA" w:rsidRPr="00616BBA" w:rsidRDefault="00616BBA" w:rsidP="00616BBA">
      <w:pPr>
        <w:pStyle w:val="ListParagraph"/>
        <w:rPr>
          <w:rFonts w:ascii="Arial" w:hAnsi="Arial" w:cs="Arial"/>
          <w:sz w:val="24"/>
          <w:szCs w:val="24"/>
        </w:rPr>
      </w:pPr>
    </w:p>
    <w:p w:rsidR="00616BBA" w:rsidRDefault="00CE7B8C" w:rsidP="00616BBA">
      <w:pPr>
        <w:pStyle w:val="ListParagraph"/>
        <w:numPr>
          <w:ilvl w:val="0"/>
          <w:numId w:val="4"/>
        </w:numPr>
        <w:spacing w:line="360" w:lineRule="auto"/>
        <w:contextualSpacing/>
        <w:rPr>
          <w:rFonts w:ascii="Arial" w:hAnsi="Arial" w:cs="Arial"/>
          <w:sz w:val="24"/>
          <w:szCs w:val="24"/>
        </w:rPr>
      </w:pPr>
      <w:r>
        <w:rPr>
          <w:rFonts w:ascii="Arial" w:hAnsi="Arial" w:cs="Arial"/>
          <w:sz w:val="24"/>
          <w:szCs w:val="24"/>
        </w:rPr>
        <w:t>Three</w:t>
      </w:r>
      <w:r w:rsidR="00616BBA">
        <w:rPr>
          <w:rFonts w:ascii="Arial" w:hAnsi="Arial" w:cs="Arial"/>
          <w:sz w:val="24"/>
          <w:szCs w:val="24"/>
        </w:rPr>
        <w:t xml:space="preserve"> of the 84 incidents in which a drunk pedestrian was injured in a collision with a motor vehicle occurred </w:t>
      </w:r>
      <w:r w:rsidR="00F5492B">
        <w:rPr>
          <w:rFonts w:ascii="Arial" w:hAnsi="Arial" w:cs="Arial"/>
          <w:sz w:val="24"/>
          <w:szCs w:val="24"/>
        </w:rPr>
        <w:t>in Portobello/Craigmillar</w:t>
      </w:r>
    </w:p>
    <w:p w:rsidR="00F5492B" w:rsidRPr="00F5492B" w:rsidRDefault="00F5492B" w:rsidP="00F5492B">
      <w:pPr>
        <w:pStyle w:val="ListParagraph"/>
        <w:rPr>
          <w:rFonts w:ascii="Arial" w:hAnsi="Arial" w:cs="Arial"/>
          <w:sz w:val="24"/>
          <w:szCs w:val="24"/>
        </w:rPr>
      </w:pPr>
    </w:p>
    <w:p w:rsidR="00F5492B" w:rsidRDefault="00F5492B" w:rsidP="00F5492B">
      <w:pPr>
        <w:pStyle w:val="ListParagraph"/>
        <w:numPr>
          <w:ilvl w:val="0"/>
          <w:numId w:val="4"/>
        </w:numPr>
        <w:spacing w:line="360" w:lineRule="auto"/>
        <w:contextualSpacing/>
        <w:rPr>
          <w:rFonts w:ascii="Arial" w:hAnsi="Arial" w:cs="Arial"/>
          <w:sz w:val="24"/>
          <w:szCs w:val="24"/>
        </w:rPr>
      </w:pPr>
      <w:r>
        <w:rPr>
          <w:rFonts w:ascii="Arial" w:hAnsi="Arial" w:cs="Arial"/>
          <w:sz w:val="24"/>
          <w:szCs w:val="24"/>
        </w:rPr>
        <w:t>A total of 30 road traffic accidents occurred in Edinburgh in which alcohol was involved, none of which were in Portobello/Craigmillar</w:t>
      </w:r>
    </w:p>
    <w:p w:rsidR="00F5492B" w:rsidRPr="00F5492B" w:rsidRDefault="00F5492B" w:rsidP="00F5492B">
      <w:pPr>
        <w:spacing w:after="0" w:line="360" w:lineRule="auto"/>
        <w:contextualSpacing/>
        <w:rPr>
          <w:rFonts w:ascii="Arial" w:hAnsi="Arial" w:cs="Arial"/>
          <w:sz w:val="24"/>
          <w:szCs w:val="24"/>
        </w:rPr>
      </w:pPr>
    </w:p>
    <w:p w:rsidR="00F5492B" w:rsidRDefault="00F5492B" w:rsidP="00F5492B">
      <w:pPr>
        <w:pStyle w:val="ListParagraph"/>
        <w:numPr>
          <w:ilvl w:val="0"/>
          <w:numId w:val="4"/>
        </w:numPr>
        <w:spacing w:line="360" w:lineRule="auto"/>
        <w:contextualSpacing/>
        <w:rPr>
          <w:rFonts w:ascii="Arial" w:hAnsi="Arial" w:cs="Arial"/>
          <w:sz w:val="24"/>
          <w:szCs w:val="24"/>
        </w:rPr>
      </w:pPr>
      <w:r>
        <w:rPr>
          <w:rFonts w:ascii="Arial" w:hAnsi="Arial" w:cs="Arial"/>
          <w:sz w:val="24"/>
          <w:szCs w:val="24"/>
        </w:rPr>
        <w:t>Alcohol-related crimes are slightly higher in Portobello/Craigmillar than the Edinburgh average, with 131.3 and 106.5 per 10,000 residents, respectively</w:t>
      </w:r>
    </w:p>
    <w:p w:rsidR="00F5492B" w:rsidRPr="00CA63B2" w:rsidRDefault="00F5492B" w:rsidP="00F5492B">
      <w:pPr>
        <w:spacing w:after="0" w:line="360" w:lineRule="auto"/>
        <w:contextualSpacing/>
        <w:rPr>
          <w:rFonts w:ascii="Arial" w:hAnsi="Arial" w:cs="Arial"/>
          <w:sz w:val="24"/>
          <w:szCs w:val="24"/>
        </w:rPr>
      </w:pPr>
    </w:p>
    <w:p w:rsidR="00F5492B" w:rsidRDefault="00F5492B" w:rsidP="00F5492B">
      <w:pPr>
        <w:pStyle w:val="ListParagraph"/>
        <w:numPr>
          <w:ilvl w:val="0"/>
          <w:numId w:val="4"/>
        </w:numPr>
        <w:spacing w:line="360" w:lineRule="auto"/>
        <w:contextualSpacing/>
        <w:rPr>
          <w:rFonts w:ascii="Arial" w:hAnsi="Arial" w:cs="Arial"/>
          <w:sz w:val="24"/>
          <w:szCs w:val="24"/>
        </w:rPr>
      </w:pPr>
      <w:r>
        <w:rPr>
          <w:rFonts w:ascii="Arial" w:hAnsi="Arial" w:cs="Arial"/>
          <w:sz w:val="24"/>
          <w:szCs w:val="24"/>
        </w:rPr>
        <w:t>Greendykes and Niddrie Mains have one of the highest rates of alcohol-related crimes in the whole city, with 476.0 per 10,000 residents</w:t>
      </w:r>
    </w:p>
    <w:p w:rsidR="00F5492B" w:rsidRDefault="00F5492B" w:rsidP="00F5492B">
      <w:pPr>
        <w:pStyle w:val="ListParagraph"/>
        <w:spacing w:line="360" w:lineRule="auto"/>
        <w:ind w:left="360"/>
        <w:contextualSpacing/>
        <w:rPr>
          <w:rFonts w:ascii="Arial" w:hAnsi="Arial" w:cs="Arial"/>
          <w:sz w:val="24"/>
          <w:szCs w:val="24"/>
        </w:rPr>
      </w:pPr>
    </w:p>
    <w:p w:rsidR="00F5492B" w:rsidRDefault="00F5492B" w:rsidP="00F5492B">
      <w:pPr>
        <w:pStyle w:val="ListParagraph"/>
        <w:numPr>
          <w:ilvl w:val="0"/>
          <w:numId w:val="4"/>
        </w:numPr>
        <w:spacing w:line="360" w:lineRule="auto"/>
        <w:contextualSpacing/>
        <w:rPr>
          <w:rFonts w:ascii="Arial" w:hAnsi="Arial" w:cs="Arial"/>
          <w:sz w:val="24"/>
          <w:szCs w:val="24"/>
        </w:rPr>
      </w:pPr>
      <w:r>
        <w:rPr>
          <w:rFonts w:ascii="Arial" w:hAnsi="Arial" w:cs="Arial"/>
          <w:sz w:val="24"/>
          <w:szCs w:val="24"/>
        </w:rPr>
        <w:t>Table 1 shows the rates per 10,000 residents of on-sales premises, off-sales premises, alcohol-related hospital admissions and alcohol-related crimes</w:t>
      </w:r>
    </w:p>
    <w:p w:rsidR="00F5492B" w:rsidRDefault="00F5492B" w:rsidP="00F5492B">
      <w:pPr>
        <w:tabs>
          <w:tab w:val="left" w:pos="1620"/>
        </w:tabs>
        <w:spacing w:after="0" w:line="240" w:lineRule="auto"/>
        <w:rPr>
          <w:rFonts w:ascii="Arial" w:hAnsi="Arial" w:cs="Arial"/>
          <w:sz w:val="24"/>
          <w:szCs w:val="24"/>
          <w:lang w:eastAsia="en-GB"/>
        </w:rPr>
      </w:pPr>
    </w:p>
    <w:p w:rsidR="00F5492B" w:rsidRPr="00CA63B2" w:rsidRDefault="00F5492B" w:rsidP="00F5492B">
      <w:pPr>
        <w:tabs>
          <w:tab w:val="left" w:pos="1620"/>
        </w:tabs>
        <w:spacing w:after="0" w:line="240" w:lineRule="auto"/>
        <w:rPr>
          <w:rFonts w:ascii="Arial" w:hAnsi="Arial" w:cs="Arial"/>
          <w:b/>
          <w:sz w:val="24"/>
          <w:szCs w:val="24"/>
        </w:rPr>
      </w:pPr>
      <w:r w:rsidRPr="00EF6461">
        <w:rPr>
          <w:rFonts w:ascii="Arial" w:hAnsi="Arial" w:cs="Arial"/>
          <w:b/>
          <w:sz w:val="24"/>
          <w:szCs w:val="24"/>
        </w:rPr>
        <w:t>T</w:t>
      </w:r>
      <w:r w:rsidRPr="00CA63B2">
        <w:rPr>
          <w:rFonts w:ascii="Arial" w:hAnsi="Arial" w:cs="Arial"/>
          <w:b/>
          <w:sz w:val="24"/>
          <w:szCs w:val="24"/>
        </w:rPr>
        <w:t>able 1. Licensed premises, alcohol-related hospital admissions and alcohol-related crimes per intermediate zone, areas highlighted in red are higher than those for Edinburgh as a whole</w:t>
      </w:r>
      <w:r>
        <w:rPr>
          <w:rFonts w:ascii="Arial" w:hAnsi="Arial" w:cs="Arial"/>
          <w:b/>
          <w:sz w:val="24"/>
          <w:szCs w:val="24"/>
        </w:rPr>
        <w:t xml:space="preserve"> </w:t>
      </w:r>
      <w:r w:rsidRPr="00CA63B2">
        <w:rPr>
          <w:rFonts w:ascii="Arial" w:hAnsi="Arial" w:cs="Arial"/>
          <w:i/>
          <w:sz w:val="24"/>
          <w:szCs w:val="24"/>
        </w:rPr>
        <w:t>(Police Scotland/ GROS/ScotPHO/HIU)</w:t>
      </w:r>
    </w:p>
    <w:tbl>
      <w:tblPr>
        <w:tblStyle w:val="TableGrid"/>
        <w:tblW w:w="10206" w:type="dxa"/>
        <w:tblInd w:w="-459" w:type="dxa"/>
        <w:tblLayout w:type="fixed"/>
        <w:tblLook w:val="04A0"/>
      </w:tblPr>
      <w:tblGrid>
        <w:gridCol w:w="3686"/>
        <w:gridCol w:w="1559"/>
        <w:gridCol w:w="1559"/>
        <w:gridCol w:w="1843"/>
        <w:gridCol w:w="1559"/>
      </w:tblGrid>
      <w:tr w:rsidR="00F5492B" w:rsidRPr="00402C6C" w:rsidTr="00F5492B">
        <w:tc>
          <w:tcPr>
            <w:tcW w:w="3686" w:type="dxa"/>
            <w:shd w:val="clear" w:color="auto" w:fill="auto"/>
          </w:tcPr>
          <w:p w:rsidR="00F5492B" w:rsidRPr="00402C6C" w:rsidRDefault="00F5492B" w:rsidP="00C324D4">
            <w:pPr>
              <w:rPr>
                <w:rFonts w:ascii="Arial" w:hAnsi="Arial" w:cs="Arial"/>
                <w:b/>
                <w:sz w:val="20"/>
                <w:szCs w:val="20"/>
              </w:rPr>
            </w:pPr>
          </w:p>
        </w:tc>
        <w:tc>
          <w:tcPr>
            <w:tcW w:w="1559" w:type="dxa"/>
            <w:shd w:val="clear" w:color="auto" w:fill="auto"/>
          </w:tcPr>
          <w:p w:rsidR="00F5492B" w:rsidRPr="00402C6C" w:rsidRDefault="00F5492B" w:rsidP="00B8208C">
            <w:pPr>
              <w:rPr>
                <w:rFonts w:ascii="Arial" w:hAnsi="Arial" w:cs="Arial"/>
                <w:b/>
                <w:sz w:val="20"/>
                <w:szCs w:val="20"/>
              </w:rPr>
            </w:pPr>
            <w:r w:rsidRPr="00402C6C">
              <w:rPr>
                <w:rFonts w:ascii="Arial" w:hAnsi="Arial" w:cs="Arial"/>
                <w:b/>
                <w:sz w:val="20"/>
                <w:szCs w:val="20"/>
              </w:rPr>
              <w:t>On-sales per 10,000 population</w:t>
            </w:r>
          </w:p>
        </w:tc>
        <w:tc>
          <w:tcPr>
            <w:tcW w:w="1559" w:type="dxa"/>
            <w:tcBorders>
              <w:bottom w:val="single" w:sz="4" w:space="0" w:color="auto"/>
            </w:tcBorders>
            <w:shd w:val="clear" w:color="auto" w:fill="auto"/>
          </w:tcPr>
          <w:p w:rsidR="00F5492B" w:rsidRPr="00402C6C" w:rsidRDefault="00F5492B" w:rsidP="00B8208C">
            <w:pPr>
              <w:rPr>
                <w:rFonts w:ascii="Arial" w:hAnsi="Arial" w:cs="Arial"/>
                <w:b/>
                <w:sz w:val="20"/>
                <w:szCs w:val="20"/>
              </w:rPr>
            </w:pPr>
            <w:r w:rsidRPr="00402C6C">
              <w:rPr>
                <w:rFonts w:ascii="Arial" w:hAnsi="Arial" w:cs="Arial"/>
                <w:b/>
                <w:sz w:val="20"/>
                <w:szCs w:val="20"/>
              </w:rPr>
              <w:t>Off-sales per 10,000 population</w:t>
            </w:r>
          </w:p>
        </w:tc>
        <w:tc>
          <w:tcPr>
            <w:tcW w:w="1843" w:type="dxa"/>
            <w:tcBorders>
              <w:bottom w:val="single" w:sz="4" w:space="0" w:color="auto"/>
            </w:tcBorders>
            <w:shd w:val="clear" w:color="auto" w:fill="auto"/>
          </w:tcPr>
          <w:p w:rsidR="00F5492B" w:rsidRPr="00402C6C" w:rsidRDefault="00F5492B" w:rsidP="00B8208C">
            <w:pPr>
              <w:rPr>
                <w:rFonts w:ascii="Arial" w:hAnsi="Arial" w:cs="Arial"/>
                <w:b/>
                <w:sz w:val="20"/>
                <w:szCs w:val="20"/>
              </w:rPr>
            </w:pPr>
            <w:r w:rsidRPr="00402C6C">
              <w:rPr>
                <w:rFonts w:ascii="Arial" w:hAnsi="Arial" w:cs="Arial"/>
                <w:b/>
                <w:sz w:val="20"/>
                <w:szCs w:val="20"/>
              </w:rPr>
              <w:t>Alcohol-related hospital admissions per 10,000 population</w:t>
            </w:r>
          </w:p>
        </w:tc>
        <w:tc>
          <w:tcPr>
            <w:tcW w:w="1559" w:type="dxa"/>
            <w:tcBorders>
              <w:bottom w:val="single" w:sz="4" w:space="0" w:color="auto"/>
            </w:tcBorders>
            <w:shd w:val="clear" w:color="auto" w:fill="auto"/>
          </w:tcPr>
          <w:p w:rsidR="00F5492B" w:rsidRPr="00402C6C" w:rsidRDefault="00F5492B" w:rsidP="00B8208C">
            <w:pPr>
              <w:rPr>
                <w:rFonts w:ascii="Arial" w:hAnsi="Arial" w:cs="Arial"/>
                <w:b/>
                <w:sz w:val="20"/>
                <w:szCs w:val="20"/>
              </w:rPr>
            </w:pPr>
            <w:r w:rsidRPr="00402C6C">
              <w:rPr>
                <w:rFonts w:ascii="Arial" w:hAnsi="Arial" w:cs="Arial"/>
                <w:b/>
                <w:sz w:val="20"/>
                <w:szCs w:val="20"/>
              </w:rPr>
              <w:t>Alcohol-related crimes per 10,000 population</w:t>
            </w:r>
          </w:p>
        </w:tc>
      </w:tr>
      <w:tr w:rsidR="00F5492B" w:rsidRPr="00402C6C" w:rsidTr="00F5492B">
        <w:tc>
          <w:tcPr>
            <w:tcW w:w="3686" w:type="dxa"/>
            <w:shd w:val="clear" w:color="auto" w:fill="auto"/>
          </w:tcPr>
          <w:p w:rsidR="00F5492B" w:rsidRPr="00F5492B" w:rsidRDefault="00F5492B" w:rsidP="00C324D4">
            <w:pPr>
              <w:rPr>
                <w:rFonts w:ascii="Arial" w:hAnsi="Arial" w:cs="Arial"/>
                <w:b/>
              </w:rPr>
            </w:pPr>
            <w:r w:rsidRPr="00F5492B">
              <w:rPr>
                <w:rFonts w:ascii="Arial" w:hAnsi="Arial" w:cs="Arial"/>
                <w:b/>
              </w:rPr>
              <w:t>Edinburgh City</w:t>
            </w:r>
          </w:p>
        </w:tc>
        <w:tc>
          <w:tcPr>
            <w:tcW w:w="1559" w:type="dxa"/>
            <w:shd w:val="clear" w:color="auto" w:fill="auto"/>
          </w:tcPr>
          <w:p w:rsidR="00F5492B" w:rsidRPr="00F5492B" w:rsidRDefault="00F5492B" w:rsidP="00B8208C">
            <w:pPr>
              <w:rPr>
                <w:rFonts w:ascii="Arial" w:hAnsi="Arial" w:cs="Arial"/>
                <w:b/>
              </w:rPr>
            </w:pPr>
            <w:r w:rsidRPr="00F5492B">
              <w:rPr>
                <w:rFonts w:ascii="Arial" w:hAnsi="Arial" w:cs="Arial"/>
                <w:b/>
              </w:rPr>
              <w:t>27.5</w:t>
            </w:r>
          </w:p>
        </w:tc>
        <w:tc>
          <w:tcPr>
            <w:tcW w:w="1559" w:type="dxa"/>
            <w:tcBorders>
              <w:bottom w:val="single" w:sz="4" w:space="0" w:color="auto"/>
            </w:tcBorders>
            <w:shd w:val="clear" w:color="auto" w:fill="auto"/>
          </w:tcPr>
          <w:p w:rsidR="00F5492B" w:rsidRPr="00F5492B" w:rsidRDefault="00F5492B" w:rsidP="00B8208C">
            <w:pPr>
              <w:rPr>
                <w:rFonts w:ascii="Arial" w:hAnsi="Arial" w:cs="Arial"/>
                <w:b/>
              </w:rPr>
            </w:pPr>
            <w:r w:rsidRPr="00F5492B">
              <w:rPr>
                <w:rFonts w:ascii="Arial" w:hAnsi="Arial" w:cs="Arial"/>
                <w:b/>
              </w:rPr>
              <w:t>10.4</w:t>
            </w:r>
          </w:p>
        </w:tc>
        <w:tc>
          <w:tcPr>
            <w:tcW w:w="1843" w:type="dxa"/>
            <w:tcBorders>
              <w:bottom w:val="single" w:sz="4" w:space="0" w:color="auto"/>
            </w:tcBorders>
            <w:shd w:val="clear" w:color="auto" w:fill="auto"/>
          </w:tcPr>
          <w:p w:rsidR="00F5492B" w:rsidRPr="00F5492B" w:rsidRDefault="00F5492B" w:rsidP="00B8208C">
            <w:pPr>
              <w:rPr>
                <w:rFonts w:ascii="Arial" w:hAnsi="Arial" w:cs="Arial"/>
                <w:b/>
              </w:rPr>
            </w:pPr>
            <w:r w:rsidRPr="00F5492B">
              <w:rPr>
                <w:rFonts w:ascii="Arial" w:hAnsi="Arial" w:cs="Arial"/>
                <w:b/>
              </w:rPr>
              <w:t>89.4</w:t>
            </w:r>
          </w:p>
        </w:tc>
        <w:tc>
          <w:tcPr>
            <w:tcW w:w="1559" w:type="dxa"/>
            <w:tcBorders>
              <w:bottom w:val="single" w:sz="4" w:space="0" w:color="auto"/>
            </w:tcBorders>
            <w:shd w:val="clear" w:color="auto" w:fill="auto"/>
          </w:tcPr>
          <w:p w:rsidR="00F5492B" w:rsidRPr="00F5492B" w:rsidRDefault="00F5492B" w:rsidP="00B8208C">
            <w:pPr>
              <w:rPr>
                <w:rFonts w:ascii="Arial" w:hAnsi="Arial" w:cs="Arial"/>
                <w:b/>
              </w:rPr>
            </w:pPr>
            <w:r w:rsidRPr="00F5492B">
              <w:rPr>
                <w:rFonts w:ascii="Arial" w:hAnsi="Arial" w:cs="Arial"/>
                <w:b/>
              </w:rPr>
              <w:t>106.5</w:t>
            </w:r>
          </w:p>
        </w:tc>
      </w:tr>
      <w:tr w:rsidR="00F5492B" w:rsidRPr="00402C6C" w:rsidTr="00F5492B">
        <w:tc>
          <w:tcPr>
            <w:tcW w:w="3686" w:type="dxa"/>
            <w:shd w:val="clear" w:color="auto" w:fill="auto"/>
          </w:tcPr>
          <w:p w:rsidR="00F5492B" w:rsidRPr="00F5492B" w:rsidRDefault="00F5492B" w:rsidP="00C324D4">
            <w:pPr>
              <w:rPr>
                <w:rFonts w:ascii="Arial" w:hAnsi="Arial" w:cs="Arial"/>
                <w:b/>
              </w:rPr>
            </w:pPr>
            <w:r w:rsidRPr="00F5492B">
              <w:rPr>
                <w:rFonts w:ascii="Arial" w:hAnsi="Arial" w:cs="Arial"/>
                <w:b/>
              </w:rPr>
              <w:t>Portobello/Craigmillar NP</w:t>
            </w:r>
          </w:p>
        </w:tc>
        <w:tc>
          <w:tcPr>
            <w:tcW w:w="1559" w:type="dxa"/>
            <w:shd w:val="clear" w:color="auto" w:fill="auto"/>
          </w:tcPr>
          <w:p w:rsidR="00F5492B" w:rsidRPr="00F5492B" w:rsidRDefault="00F5492B" w:rsidP="00C324D4">
            <w:pPr>
              <w:rPr>
                <w:rFonts w:ascii="Arial" w:hAnsi="Arial" w:cs="Arial"/>
                <w:b/>
              </w:rPr>
            </w:pPr>
            <w:r w:rsidRPr="00F5492B">
              <w:rPr>
                <w:rFonts w:ascii="Arial" w:hAnsi="Arial" w:cs="Arial"/>
                <w:b/>
              </w:rPr>
              <w:t>17.5</w:t>
            </w:r>
          </w:p>
        </w:tc>
        <w:tc>
          <w:tcPr>
            <w:tcW w:w="1559" w:type="dxa"/>
            <w:tcBorders>
              <w:bottom w:val="single" w:sz="4" w:space="0" w:color="auto"/>
            </w:tcBorders>
            <w:shd w:val="clear" w:color="auto" w:fill="auto"/>
          </w:tcPr>
          <w:p w:rsidR="00F5492B" w:rsidRPr="00F5492B" w:rsidRDefault="00F5492B" w:rsidP="00C324D4">
            <w:pPr>
              <w:rPr>
                <w:rFonts w:ascii="Arial" w:hAnsi="Arial" w:cs="Arial"/>
                <w:b/>
              </w:rPr>
            </w:pPr>
            <w:r w:rsidRPr="00F5492B">
              <w:rPr>
                <w:rFonts w:ascii="Arial" w:hAnsi="Arial" w:cs="Arial"/>
                <w:b/>
              </w:rPr>
              <w:t>13.8</w:t>
            </w:r>
          </w:p>
        </w:tc>
        <w:tc>
          <w:tcPr>
            <w:tcW w:w="1843" w:type="dxa"/>
            <w:tcBorders>
              <w:bottom w:val="single" w:sz="4" w:space="0" w:color="auto"/>
            </w:tcBorders>
            <w:shd w:val="clear" w:color="auto" w:fill="auto"/>
          </w:tcPr>
          <w:p w:rsidR="00F5492B" w:rsidRPr="00F5492B" w:rsidRDefault="00F5492B" w:rsidP="00C324D4">
            <w:pPr>
              <w:rPr>
                <w:rFonts w:ascii="Arial" w:hAnsi="Arial" w:cs="Arial"/>
                <w:b/>
              </w:rPr>
            </w:pPr>
            <w:r w:rsidRPr="00F5492B">
              <w:rPr>
                <w:rFonts w:ascii="Arial" w:hAnsi="Arial" w:cs="Arial"/>
                <w:b/>
              </w:rPr>
              <w:t>134.8 (mean)</w:t>
            </w:r>
          </w:p>
        </w:tc>
        <w:tc>
          <w:tcPr>
            <w:tcW w:w="1559" w:type="dxa"/>
            <w:tcBorders>
              <w:bottom w:val="single" w:sz="4" w:space="0" w:color="auto"/>
            </w:tcBorders>
            <w:shd w:val="clear" w:color="auto" w:fill="auto"/>
          </w:tcPr>
          <w:p w:rsidR="00F5492B" w:rsidRPr="00F5492B" w:rsidRDefault="00F5492B" w:rsidP="00C324D4">
            <w:pPr>
              <w:rPr>
                <w:rFonts w:ascii="Arial" w:hAnsi="Arial" w:cs="Arial"/>
                <w:b/>
              </w:rPr>
            </w:pPr>
            <w:r w:rsidRPr="00F5492B">
              <w:rPr>
                <w:rFonts w:ascii="Arial" w:hAnsi="Arial" w:cs="Arial"/>
                <w:b/>
              </w:rPr>
              <w:t>131.3</w:t>
            </w:r>
          </w:p>
        </w:tc>
      </w:tr>
      <w:tr w:rsidR="00F5492B" w:rsidRPr="00402C6C" w:rsidTr="00F5492B">
        <w:tc>
          <w:tcPr>
            <w:tcW w:w="3686" w:type="dxa"/>
            <w:shd w:val="clear" w:color="auto" w:fill="auto"/>
          </w:tcPr>
          <w:p w:rsidR="00F5492B" w:rsidRPr="00F5492B" w:rsidRDefault="00F5492B" w:rsidP="00C324D4">
            <w:pPr>
              <w:rPr>
                <w:rFonts w:ascii="Arial" w:hAnsi="Arial" w:cs="Arial"/>
              </w:rPr>
            </w:pPr>
            <w:r w:rsidRPr="00F5492B">
              <w:rPr>
                <w:rFonts w:ascii="Arial" w:hAnsi="Arial" w:cs="Arial"/>
              </w:rPr>
              <w:t>South East Bypass</w:t>
            </w:r>
          </w:p>
        </w:tc>
        <w:tc>
          <w:tcPr>
            <w:tcW w:w="1559" w:type="dxa"/>
            <w:shd w:val="clear" w:color="auto" w:fill="auto"/>
          </w:tcPr>
          <w:p w:rsidR="00F5492B" w:rsidRPr="00F5492B" w:rsidRDefault="00F5492B" w:rsidP="00C324D4">
            <w:pPr>
              <w:rPr>
                <w:rFonts w:ascii="Arial" w:hAnsi="Arial" w:cs="Arial"/>
              </w:rPr>
            </w:pPr>
            <w:r w:rsidRPr="00F5492B">
              <w:rPr>
                <w:rFonts w:ascii="Arial" w:hAnsi="Arial" w:cs="Arial"/>
              </w:rPr>
              <w:t>8.5</w:t>
            </w:r>
          </w:p>
        </w:tc>
        <w:tc>
          <w:tcPr>
            <w:tcW w:w="1559"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0</w:t>
            </w:r>
          </w:p>
        </w:tc>
        <w:tc>
          <w:tcPr>
            <w:tcW w:w="1843"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58.3</w:t>
            </w:r>
          </w:p>
        </w:tc>
        <w:tc>
          <w:tcPr>
            <w:tcW w:w="1559"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19.6</w:t>
            </w:r>
          </w:p>
        </w:tc>
      </w:tr>
      <w:tr w:rsidR="00F5492B" w:rsidRPr="00402C6C" w:rsidTr="00F5492B">
        <w:tc>
          <w:tcPr>
            <w:tcW w:w="3686" w:type="dxa"/>
            <w:shd w:val="clear" w:color="auto" w:fill="auto"/>
          </w:tcPr>
          <w:p w:rsidR="00F5492B" w:rsidRPr="00F5492B" w:rsidRDefault="00F5492B" w:rsidP="00C324D4">
            <w:pPr>
              <w:rPr>
                <w:rFonts w:ascii="Arial" w:hAnsi="Arial" w:cs="Arial"/>
              </w:rPr>
            </w:pPr>
            <w:r w:rsidRPr="00F5492B">
              <w:rPr>
                <w:rFonts w:ascii="Arial" w:hAnsi="Arial" w:cs="Arial"/>
              </w:rPr>
              <w:t>Greendykes &amp; Niddrie Mains</w:t>
            </w:r>
          </w:p>
        </w:tc>
        <w:tc>
          <w:tcPr>
            <w:tcW w:w="1559"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6.6</w:t>
            </w:r>
          </w:p>
        </w:tc>
        <w:tc>
          <w:tcPr>
            <w:tcW w:w="1559" w:type="dxa"/>
            <w:shd w:val="clear" w:color="auto" w:fill="FF0000"/>
          </w:tcPr>
          <w:p w:rsidR="00F5492B" w:rsidRPr="00F5492B" w:rsidRDefault="00F5492B" w:rsidP="00C324D4">
            <w:pPr>
              <w:rPr>
                <w:rFonts w:ascii="Arial" w:hAnsi="Arial" w:cs="Arial"/>
              </w:rPr>
            </w:pPr>
            <w:r w:rsidRPr="00F5492B">
              <w:rPr>
                <w:rFonts w:ascii="Arial" w:hAnsi="Arial" w:cs="Arial"/>
              </w:rPr>
              <w:t>16.6</w:t>
            </w:r>
          </w:p>
        </w:tc>
        <w:tc>
          <w:tcPr>
            <w:tcW w:w="1843" w:type="dxa"/>
            <w:tcBorders>
              <w:bottom w:val="single" w:sz="4" w:space="0" w:color="auto"/>
            </w:tcBorders>
            <w:shd w:val="clear" w:color="auto" w:fill="FF0000"/>
          </w:tcPr>
          <w:p w:rsidR="00F5492B" w:rsidRPr="00F5492B" w:rsidRDefault="00F5492B" w:rsidP="00C324D4">
            <w:pPr>
              <w:rPr>
                <w:rFonts w:ascii="Arial" w:hAnsi="Arial" w:cs="Arial"/>
              </w:rPr>
            </w:pPr>
            <w:r w:rsidRPr="00F5492B">
              <w:rPr>
                <w:rFonts w:ascii="Arial" w:hAnsi="Arial" w:cs="Arial"/>
              </w:rPr>
              <w:t>215.3</w:t>
            </w:r>
          </w:p>
        </w:tc>
        <w:tc>
          <w:tcPr>
            <w:tcW w:w="1559" w:type="dxa"/>
            <w:tcBorders>
              <w:bottom w:val="single" w:sz="4" w:space="0" w:color="auto"/>
            </w:tcBorders>
            <w:shd w:val="clear" w:color="auto" w:fill="FF0000"/>
          </w:tcPr>
          <w:p w:rsidR="00F5492B" w:rsidRPr="00F5492B" w:rsidRDefault="00F5492B" w:rsidP="00C324D4">
            <w:pPr>
              <w:rPr>
                <w:rFonts w:ascii="Arial" w:hAnsi="Arial" w:cs="Arial"/>
              </w:rPr>
            </w:pPr>
            <w:r w:rsidRPr="00F5492B">
              <w:rPr>
                <w:rFonts w:ascii="Arial" w:hAnsi="Arial" w:cs="Arial"/>
              </w:rPr>
              <w:t>476.0</w:t>
            </w:r>
          </w:p>
        </w:tc>
      </w:tr>
      <w:tr w:rsidR="00F5492B" w:rsidRPr="00402C6C" w:rsidTr="00F5492B">
        <w:tc>
          <w:tcPr>
            <w:tcW w:w="3686" w:type="dxa"/>
            <w:shd w:val="clear" w:color="auto" w:fill="auto"/>
          </w:tcPr>
          <w:p w:rsidR="00F5492B" w:rsidRPr="00F5492B" w:rsidRDefault="00F5492B" w:rsidP="00C324D4">
            <w:pPr>
              <w:rPr>
                <w:rFonts w:ascii="Arial" w:hAnsi="Arial" w:cs="Arial"/>
              </w:rPr>
            </w:pPr>
            <w:r w:rsidRPr="00F5492B">
              <w:rPr>
                <w:rFonts w:ascii="Arial" w:hAnsi="Arial" w:cs="Arial"/>
              </w:rPr>
              <w:t>Niddrie</w:t>
            </w:r>
          </w:p>
        </w:tc>
        <w:tc>
          <w:tcPr>
            <w:tcW w:w="1559" w:type="dxa"/>
            <w:shd w:val="clear" w:color="auto" w:fill="auto"/>
          </w:tcPr>
          <w:p w:rsidR="00F5492B" w:rsidRPr="00F5492B" w:rsidRDefault="00F5492B" w:rsidP="00C324D4">
            <w:pPr>
              <w:rPr>
                <w:rFonts w:ascii="Arial" w:hAnsi="Arial" w:cs="Arial"/>
              </w:rPr>
            </w:pPr>
            <w:r w:rsidRPr="00F5492B">
              <w:rPr>
                <w:rFonts w:ascii="Arial" w:hAnsi="Arial" w:cs="Arial"/>
              </w:rPr>
              <w:t>0</w:t>
            </w:r>
          </w:p>
        </w:tc>
        <w:tc>
          <w:tcPr>
            <w:tcW w:w="1559"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6.0</w:t>
            </w:r>
          </w:p>
        </w:tc>
        <w:tc>
          <w:tcPr>
            <w:tcW w:w="1843" w:type="dxa"/>
            <w:tcBorders>
              <w:bottom w:val="single" w:sz="4" w:space="0" w:color="auto"/>
            </w:tcBorders>
            <w:shd w:val="clear" w:color="auto" w:fill="FF0000"/>
          </w:tcPr>
          <w:p w:rsidR="00F5492B" w:rsidRPr="00F5492B" w:rsidRDefault="00F5492B" w:rsidP="00C324D4">
            <w:pPr>
              <w:rPr>
                <w:rFonts w:ascii="Arial" w:hAnsi="Arial" w:cs="Arial"/>
              </w:rPr>
            </w:pPr>
            <w:r w:rsidRPr="00F5492B">
              <w:rPr>
                <w:rFonts w:ascii="Arial" w:hAnsi="Arial" w:cs="Arial"/>
              </w:rPr>
              <w:t>201.3</w:t>
            </w:r>
          </w:p>
        </w:tc>
        <w:tc>
          <w:tcPr>
            <w:tcW w:w="1559" w:type="dxa"/>
            <w:shd w:val="clear" w:color="auto" w:fill="FF0000"/>
          </w:tcPr>
          <w:p w:rsidR="00F5492B" w:rsidRPr="00F5492B" w:rsidRDefault="00F5492B" w:rsidP="00C324D4">
            <w:pPr>
              <w:rPr>
                <w:rFonts w:ascii="Arial" w:hAnsi="Arial" w:cs="Arial"/>
              </w:rPr>
            </w:pPr>
            <w:r w:rsidRPr="00F5492B">
              <w:rPr>
                <w:rFonts w:ascii="Arial" w:hAnsi="Arial" w:cs="Arial"/>
              </w:rPr>
              <w:t>183.6</w:t>
            </w:r>
          </w:p>
        </w:tc>
      </w:tr>
      <w:tr w:rsidR="00F5492B" w:rsidRPr="00402C6C" w:rsidTr="00F5492B">
        <w:tc>
          <w:tcPr>
            <w:tcW w:w="3686" w:type="dxa"/>
            <w:shd w:val="clear" w:color="auto" w:fill="auto"/>
          </w:tcPr>
          <w:p w:rsidR="00F5492B" w:rsidRPr="00F5492B" w:rsidRDefault="00F5492B" w:rsidP="00C324D4">
            <w:pPr>
              <w:rPr>
                <w:rFonts w:ascii="Arial" w:hAnsi="Arial" w:cs="Arial"/>
              </w:rPr>
            </w:pPr>
            <w:r w:rsidRPr="00F5492B">
              <w:rPr>
                <w:rFonts w:ascii="Arial" w:hAnsi="Arial" w:cs="Arial"/>
              </w:rPr>
              <w:t>Jewel, Brunstane &amp; Newcraighall</w:t>
            </w:r>
          </w:p>
        </w:tc>
        <w:tc>
          <w:tcPr>
            <w:tcW w:w="1559"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13.9</w:t>
            </w:r>
          </w:p>
        </w:tc>
        <w:tc>
          <w:tcPr>
            <w:tcW w:w="1559" w:type="dxa"/>
            <w:tcBorders>
              <w:bottom w:val="single" w:sz="4" w:space="0" w:color="auto"/>
            </w:tcBorders>
            <w:shd w:val="clear" w:color="auto" w:fill="FF0000"/>
          </w:tcPr>
          <w:p w:rsidR="00F5492B" w:rsidRPr="00F5492B" w:rsidRDefault="00F5492B" w:rsidP="00C324D4">
            <w:pPr>
              <w:rPr>
                <w:rFonts w:ascii="Arial" w:hAnsi="Arial" w:cs="Arial"/>
              </w:rPr>
            </w:pPr>
            <w:r w:rsidRPr="00F5492B">
              <w:rPr>
                <w:rFonts w:ascii="Arial" w:hAnsi="Arial" w:cs="Arial"/>
              </w:rPr>
              <w:t>21.0</w:t>
            </w:r>
          </w:p>
        </w:tc>
        <w:tc>
          <w:tcPr>
            <w:tcW w:w="1843" w:type="dxa"/>
            <w:tcBorders>
              <w:bottom w:val="single" w:sz="4" w:space="0" w:color="auto"/>
            </w:tcBorders>
            <w:shd w:val="clear" w:color="auto" w:fill="FF0000"/>
          </w:tcPr>
          <w:p w:rsidR="00F5492B" w:rsidRPr="00F5492B" w:rsidRDefault="00F5492B" w:rsidP="00C324D4">
            <w:pPr>
              <w:rPr>
                <w:rFonts w:ascii="Arial" w:hAnsi="Arial" w:cs="Arial"/>
              </w:rPr>
            </w:pPr>
            <w:r w:rsidRPr="00F5492B">
              <w:rPr>
                <w:rFonts w:ascii="Arial" w:hAnsi="Arial" w:cs="Arial"/>
              </w:rPr>
              <w:t>102.3</w:t>
            </w:r>
          </w:p>
        </w:tc>
        <w:tc>
          <w:tcPr>
            <w:tcW w:w="1559" w:type="dxa"/>
            <w:shd w:val="clear" w:color="auto" w:fill="auto"/>
          </w:tcPr>
          <w:p w:rsidR="00F5492B" w:rsidRPr="00F5492B" w:rsidRDefault="00F5492B" w:rsidP="00C324D4">
            <w:pPr>
              <w:rPr>
                <w:rFonts w:ascii="Arial" w:hAnsi="Arial" w:cs="Arial"/>
              </w:rPr>
            </w:pPr>
            <w:r w:rsidRPr="00F5492B">
              <w:rPr>
                <w:rFonts w:ascii="Arial" w:hAnsi="Arial" w:cs="Arial"/>
              </w:rPr>
              <w:t>49.4</w:t>
            </w:r>
          </w:p>
        </w:tc>
      </w:tr>
      <w:tr w:rsidR="00F5492B" w:rsidRPr="00402C6C" w:rsidTr="00F5492B">
        <w:tc>
          <w:tcPr>
            <w:tcW w:w="3686" w:type="dxa"/>
            <w:shd w:val="clear" w:color="auto" w:fill="auto"/>
          </w:tcPr>
          <w:p w:rsidR="00F5492B" w:rsidRPr="00F5492B" w:rsidRDefault="00F5492B" w:rsidP="00C324D4">
            <w:pPr>
              <w:rPr>
                <w:rFonts w:ascii="Arial" w:hAnsi="Arial" w:cs="Arial"/>
              </w:rPr>
            </w:pPr>
            <w:r w:rsidRPr="00F5492B">
              <w:rPr>
                <w:rFonts w:ascii="Arial" w:hAnsi="Arial" w:cs="Arial"/>
              </w:rPr>
              <w:t>Bingham, Magdalene &amp;The Christians</w:t>
            </w:r>
          </w:p>
        </w:tc>
        <w:tc>
          <w:tcPr>
            <w:tcW w:w="1559" w:type="dxa"/>
            <w:shd w:val="clear" w:color="auto" w:fill="auto"/>
          </w:tcPr>
          <w:p w:rsidR="00F5492B" w:rsidRPr="00F5492B" w:rsidRDefault="00F5492B" w:rsidP="00C324D4">
            <w:pPr>
              <w:rPr>
                <w:rFonts w:ascii="Arial" w:hAnsi="Arial" w:cs="Arial"/>
              </w:rPr>
            </w:pPr>
            <w:r w:rsidRPr="00F5492B">
              <w:rPr>
                <w:rFonts w:ascii="Arial" w:hAnsi="Arial" w:cs="Arial"/>
              </w:rPr>
              <w:t>3.0</w:t>
            </w:r>
          </w:p>
        </w:tc>
        <w:tc>
          <w:tcPr>
            <w:tcW w:w="1559" w:type="dxa"/>
            <w:shd w:val="clear" w:color="auto" w:fill="auto"/>
          </w:tcPr>
          <w:p w:rsidR="00F5492B" w:rsidRPr="00F5492B" w:rsidRDefault="00F5492B" w:rsidP="00C324D4">
            <w:pPr>
              <w:rPr>
                <w:rFonts w:ascii="Arial" w:hAnsi="Arial" w:cs="Arial"/>
              </w:rPr>
            </w:pPr>
            <w:r w:rsidRPr="00F5492B">
              <w:rPr>
                <w:rFonts w:ascii="Arial" w:hAnsi="Arial" w:cs="Arial"/>
              </w:rPr>
              <w:t>8.9</w:t>
            </w:r>
          </w:p>
        </w:tc>
        <w:tc>
          <w:tcPr>
            <w:tcW w:w="1843" w:type="dxa"/>
            <w:shd w:val="clear" w:color="auto" w:fill="FF0000"/>
          </w:tcPr>
          <w:p w:rsidR="00F5492B" w:rsidRPr="00F5492B" w:rsidRDefault="00F5492B" w:rsidP="00C324D4">
            <w:pPr>
              <w:rPr>
                <w:rFonts w:ascii="Arial" w:hAnsi="Arial" w:cs="Arial"/>
              </w:rPr>
            </w:pPr>
            <w:r w:rsidRPr="00F5492B">
              <w:rPr>
                <w:rFonts w:ascii="Arial" w:hAnsi="Arial" w:cs="Arial"/>
              </w:rPr>
              <w:t>185.8</w:t>
            </w:r>
          </w:p>
        </w:tc>
        <w:tc>
          <w:tcPr>
            <w:tcW w:w="1559" w:type="dxa"/>
            <w:shd w:val="clear" w:color="auto" w:fill="auto"/>
          </w:tcPr>
          <w:p w:rsidR="00F5492B" w:rsidRPr="00F5492B" w:rsidRDefault="00F5492B" w:rsidP="00C324D4">
            <w:pPr>
              <w:rPr>
                <w:rFonts w:ascii="Arial" w:hAnsi="Arial" w:cs="Arial"/>
              </w:rPr>
            </w:pPr>
            <w:r w:rsidRPr="00F5492B">
              <w:rPr>
                <w:rFonts w:ascii="Arial" w:hAnsi="Arial" w:cs="Arial"/>
              </w:rPr>
              <w:t>96.4</w:t>
            </w:r>
          </w:p>
        </w:tc>
      </w:tr>
      <w:tr w:rsidR="00F5492B" w:rsidRPr="00402C6C" w:rsidTr="00F5492B">
        <w:tc>
          <w:tcPr>
            <w:tcW w:w="3686" w:type="dxa"/>
            <w:shd w:val="clear" w:color="auto" w:fill="auto"/>
          </w:tcPr>
          <w:p w:rsidR="00F5492B" w:rsidRPr="00F5492B" w:rsidRDefault="00F5492B" w:rsidP="00C324D4">
            <w:pPr>
              <w:rPr>
                <w:rFonts w:ascii="Arial" w:hAnsi="Arial" w:cs="Arial"/>
              </w:rPr>
            </w:pPr>
            <w:r w:rsidRPr="00F5492B">
              <w:rPr>
                <w:rFonts w:ascii="Arial" w:hAnsi="Arial" w:cs="Arial"/>
              </w:rPr>
              <w:t>Joppa</w:t>
            </w:r>
          </w:p>
        </w:tc>
        <w:tc>
          <w:tcPr>
            <w:tcW w:w="1559"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19.9</w:t>
            </w:r>
          </w:p>
        </w:tc>
        <w:tc>
          <w:tcPr>
            <w:tcW w:w="1559"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6.6</w:t>
            </w:r>
          </w:p>
        </w:tc>
        <w:tc>
          <w:tcPr>
            <w:tcW w:w="1843"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69.9</w:t>
            </w:r>
          </w:p>
        </w:tc>
        <w:tc>
          <w:tcPr>
            <w:tcW w:w="1559"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28.8</w:t>
            </w:r>
          </w:p>
        </w:tc>
      </w:tr>
      <w:tr w:rsidR="00F5492B" w:rsidRPr="00402C6C" w:rsidTr="00F5492B">
        <w:tc>
          <w:tcPr>
            <w:tcW w:w="3686" w:type="dxa"/>
            <w:tcBorders>
              <w:bottom w:val="single" w:sz="4" w:space="0" w:color="auto"/>
            </w:tcBorders>
            <w:shd w:val="clear" w:color="auto" w:fill="auto"/>
          </w:tcPr>
          <w:p w:rsidR="00F5492B" w:rsidRPr="00F5492B" w:rsidRDefault="00F5492B" w:rsidP="00C324D4">
            <w:pPr>
              <w:rPr>
                <w:rFonts w:ascii="Arial" w:hAnsi="Arial" w:cs="Arial"/>
              </w:rPr>
            </w:pPr>
            <w:r w:rsidRPr="00F5492B">
              <w:rPr>
                <w:rFonts w:ascii="Arial" w:hAnsi="Arial" w:cs="Arial"/>
              </w:rPr>
              <w:t>Portobello</w:t>
            </w:r>
          </w:p>
        </w:tc>
        <w:tc>
          <w:tcPr>
            <w:tcW w:w="1559" w:type="dxa"/>
            <w:tcBorders>
              <w:bottom w:val="single" w:sz="4" w:space="0" w:color="auto"/>
            </w:tcBorders>
            <w:shd w:val="clear" w:color="auto" w:fill="FF0000"/>
          </w:tcPr>
          <w:p w:rsidR="00F5492B" w:rsidRPr="00F5492B" w:rsidRDefault="00F5492B" w:rsidP="00C324D4">
            <w:pPr>
              <w:rPr>
                <w:rFonts w:ascii="Arial" w:hAnsi="Arial" w:cs="Arial"/>
              </w:rPr>
            </w:pPr>
            <w:r w:rsidRPr="00F5492B">
              <w:rPr>
                <w:rFonts w:ascii="Arial" w:hAnsi="Arial" w:cs="Arial"/>
              </w:rPr>
              <w:t>63.8</w:t>
            </w:r>
          </w:p>
        </w:tc>
        <w:tc>
          <w:tcPr>
            <w:tcW w:w="1559" w:type="dxa"/>
            <w:tcBorders>
              <w:bottom w:val="single" w:sz="4" w:space="0" w:color="auto"/>
            </w:tcBorders>
            <w:shd w:val="clear" w:color="auto" w:fill="FF0000"/>
          </w:tcPr>
          <w:p w:rsidR="00F5492B" w:rsidRPr="00F5492B" w:rsidRDefault="00F5492B" w:rsidP="00C324D4">
            <w:pPr>
              <w:rPr>
                <w:rFonts w:ascii="Arial" w:hAnsi="Arial" w:cs="Arial"/>
              </w:rPr>
            </w:pPr>
            <w:r w:rsidRPr="00F5492B">
              <w:rPr>
                <w:rFonts w:ascii="Arial" w:hAnsi="Arial" w:cs="Arial"/>
              </w:rPr>
              <w:t>24.9</w:t>
            </w:r>
          </w:p>
        </w:tc>
        <w:tc>
          <w:tcPr>
            <w:tcW w:w="1843" w:type="dxa"/>
            <w:tcBorders>
              <w:bottom w:val="single" w:sz="4" w:space="0" w:color="auto"/>
            </w:tcBorders>
            <w:shd w:val="clear" w:color="auto" w:fill="FF0000"/>
          </w:tcPr>
          <w:p w:rsidR="00F5492B" w:rsidRPr="00F5492B" w:rsidRDefault="00F5492B" w:rsidP="00C324D4">
            <w:pPr>
              <w:rPr>
                <w:rFonts w:ascii="Arial" w:hAnsi="Arial" w:cs="Arial"/>
              </w:rPr>
            </w:pPr>
            <w:r w:rsidRPr="00F5492B">
              <w:rPr>
                <w:rFonts w:ascii="Arial" w:hAnsi="Arial" w:cs="Arial"/>
              </w:rPr>
              <w:t>110.6</w:t>
            </w:r>
          </w:p>
        </w:tc>
        <w:tc>
          <w:tcPr>
            <w:tcW w:w="1559" w:type="dxa"/>
            <w:tcBorders>
              <w:bottom w:val="single" w:sz="4" w:space="0" w:color="auto"/>
            </w:tcBorders>
            <w:shd w:val="clear" w:color="auto" w:fill="FF0000"/>
          </w:tcPr>
          <w:p w:rsidR="00F5492B" w:rsidRPr="00F5492B" w:rsidRDefault="00F5492B" w:rsidP="00C324D4">
            <w:pPr>
              <w:rPr>
                <w:rFonts w:ascii="Arial" w:hAnsi="Arial" w:cs="Arial"/>
              </w:rPr>
            </w:pPr>
            <w:r w:rsidRPr="00F5492B">
              <w:rPr>
                <w:rFonts w:ascii="Arial" w:hAnsi="Arial" w:cs="Arial"/>
              </w:rPr>
              <w:t>130.0</w:t>
            </w:r>
          </w:p>
        </w:tc>
      </w:tr>
    </w:tbl>
    <w:p w:rsidR="0072738B" w:rsidRDefault="0072738B"/>
    <w:p w:rsidR="00F5492B" w:rsidRDefault="00F5492B" w:rsidP="00F5492B">
      <w:pPr>
        <w:pStyle w:val="ListParagraph"/>
        <w:numPr>
          <w:ilvl w:val="0"/>
          <w:numId w:val="6"/>
        </w:numPr>
        <w:spacing w:line="360" w:lineRule="auto"/>
        <w:contextualSpacing/>
        <w:rPr>
          <w:rFonts w:ascii="Arial" w:hAnsi="Arial" w:cs="Arial"/>
          <w:sz w:val="24"/>
          <w:szCs w:val="24"/>
        </w:rPr>
      </w:pPr>
      <w:r>
        <w:rPr>
          <w:rFonts w:ascii="Arial" w:hAnsi="Arial" w:cs="Arial"/>
          <w:sz w:val="24"/>
          <w:szCs w:val="24"/>
        </w:rPr>
        <w:t xml:space="preserve">Seven areas of the city have been identified as being highly problematic in terms of the density of licensed premises and alcohol-related harm; </w:t>
      </w:r>
      <w:r w:rsidR="00971F2D">
        <w:rPr>
          <w:rFonts w:ascii="Arial" w:hAnsi="Arial" w:cs="Arial"/>
          <w:sz w:val="24"/>
          <w:szCs w:val="24"/>
        </w:rPr>
        <w:t xml:space="preserve">Portobello </w:t>
      </w:r>
      <w:r>
        <w:rPr>
          <w:rFonts w:ascii="Arial" w:hAnsi="Arial" w:cs="Arial"/>
          <w:sz w:val="24"/>
          <w:szCs w:val="24"/>
        </w:rPr>
        <w:t>is one of these areas</w:t>
      </w:r>
    </w:p>
    <w:p w:rsidR="00F5492B" w:rsidRDefault="00F5492B" w:rsidP="00F5492B">
      <w:pPr>
        <w:spacing w:line="360" w:lineRule="auto"/>
        <w:rPr>
          <w:rFonts w:ascii="Arial" w:hAnsi="Arial" w:cs="Arial"/>
          <w:b/>
          <w:sz w:val="24"/>
          <w:szCs w:val="24"/>
        </w:rPr>
      </w:pPr>
    </w:p>
    <w:p w:rsidR="00F5492B" w:rsidRPr="00F5492B" w:rsidRDefault="00F5492B" w:rsidP="00F5492B">
      <w:pPr>
        <w:spacing w:line="360" w:lineRule="auto"/>
        <w:rPr>
          <w:rFonts w:ascii="Arial" w:hAnsi="Arial" w:cs="Arial"/>
          <w:b/>
          <w:sz w:val="24"/>
          <w:szCs w:val="24"/>
        </w:rPr>
      </w:pPr>
      <w:r w:rsidRPr="00F5492B">
        <w:rPr>
          <w:rFonts w:ascii="Arial" w:hAnsi="Arial" w:cs="Arial"/>
          <w:b/>
          <w:sz w:val="24"/>
          <w:szCs w:val="24"/>
        </w:rPr>
        <w:t>Conclusions</w:t>
      </w:r>
    </w:p>
    <w:p w:rsidR="00F5492B" w:rsidRPr="00F5492B" w:rsidRDefault="00F5492B" w:rsidP="00F5492B">
      <w:pPr>
        <w:spacing w:line="360" w:lineRule="auto"/>
        <w:contextualSpacing/>
        <w:rPr>
          <w:rFonts w:ascii="Arial" w:hAnsi="Arial" w:cs="Arial"/>
          <w:u w:val="double"/>
        </w:rPr>
      </w:pPr>
      <w:r w:rsidRPr="00F5492B">
        <w:rPr>
          <w:rFonts w:ascii="Arial" w:hAnsi="Arial" w:cs="Arial"/>
          <w:sz w:val="24"/>
          <w:szCs w:val="24"/>
        </w:rPr>
        <w:t>Portobello/Craigmillar has a number of problems affecting the area in terms of alcohol use. There are high rates of off-licensed premises, which are thought to be more problematic in terms of excessive alcohol consumption than on-sales due to lower priced alcohol, and fewer restrictio</w:t>
      </w:r>
      <w:r w:rsidR="00971F2D">
        <w:rPr>
          <w:rFonts w:ascii="Arial" w:hAnsi="Arial" w:cs="Arial"/>
          <w:sz w:val="24"/>
          <w:szCs w:val="24"/>
        </w:rPr>
        <w:t>ns around consumption. O</w:t>
      </w:r>
      <w:r w:rsidRPr="00F5492B">
        <w:rPr>
          <w:rFonts w:ascii="Arial" w:hAnsi="Arial" w:cs="Arial"/>
          <w:sz w:val="24"/>
          <w:szCs w:val="24"/>
        </w:rPr>
        <w:t>n-sales licensed premises provide alcohol in specific measures and will stop serving someone if they are intoxicated, while the amount of alcohol consumed at home is controlled by the drinker. The high rates of alcohol-related hospital admissions, particularly in Greendykes &amp; Niddrie Main</w:t>
      </w:r>
      <w:r>
        <w:rPr>
          <w:rFonts w:ascii="Arial" w:hAnsi="Arial" w:cs="Arial"/>
          <w:sz w:val="24"/>
          <w:szCs w:val="24"/>
        </w:rPr>
        <w:t xml:space="preserve">s, </w:t>
      </w:r>
      <w:r w:rsidRPr="00F5492B">
        <w:rPr>
          <w:rFonts w:ascii="Arial" w:hAnsi="Arial" w:cs="Arial"/>
          <w:sz w:val="24"/>
          <w:szCs w:val="24"/>
        </w:rPr>
        <w:t>Niddrie</w:t>
      </w:r>
      <w:r>
        <w:rPr>
          <w:rFonts w:ascii="Arial" w:hAnsi="Arial" w:cs="Arial"/>
          <w:sz w:val="24"/>
          <w:szCs w:val="24"/>
        </w:rPr>
        <w:t xml:space="preserve"> and</w:t>
      </w:r>
      <w:r w:rsidRPr="00F5492B">
        <w:rPr>
          <w:rFonts w:ascii="Arial" w:hAnsi="Arial" w:cs="Arial"/>
          <w:sz w:val="24"/>
          <w:szCs w:val="24"/>
        </w:rPr>
        <w:t xml:space="preserve"> Bingham, Magdalene &amp; The Christians</w:t>
      </w:r>
      <w:r>
        <w:rPr>
          <w:rFonts w:ascii="Arial" w:hAnsi="Arial" w:cs="Arial"/>
          <w:sz w:val="24"/>
          <w:szCs w:val="24"/>
        </w:rPr>
        <w:t xml:space="preserve"> </w:t>
      </w:r>
      <w:r w:rsidRPr="00F5492B">
        <w:rPr>
          <w:rFonts w:ascii="Arial" w:hAnsi="Arial" w:cs="Arial"/>
          <w:sz w:val="24"/>
          <w:szCs w:val="24"/>
        </w:rPr>
        <w:t>may be due to high rates of deprivation. Alcohol-related crime rates in Greendykes &amp; Niddrie Main</w:t>
      </w:r>
      <w:r>
        <w:rPr>
          <w:rFonts w:ascii="Arial" w:hAnsi="Arial" w:cs="Arial"/>
          <w:sz w:val="24"/>
          <w:szCs w:val="24"/>
        </w:rPr>
        <w:t>s</w:t>
      </w:r>
      <w:r w:rsidRPr="00F5492B">
        <w:rPr>
          <w:rFonts w:ascii="Arial" w:hAnsi="Arial" w:cs="Arial"/>
          <w:sz w:val="24"/>
          <w:szCs w:val="24"/>
        </w:rPr>
        <w:t xml:space="preserve"> are far higher than the average for Edinburgh and fo</w:t>
      </w:r>
      <w:r>
        <w:rPr>
          <w:rFonts w:ascii="Arial" w:hAnsi="Arial" w:cs="Arial"/>
          <w:sz w:val="24"/>
          <w:szCs w:val="24"/>
        </w:rPr>
        <w:t xml:space="preserve">r Portobello/Craigmillar. </w:t>
      </w:r>
    </w:p>
    <w:p w:rsidR="00F5492B" w:rsidRDefault="00F5492B"/>
    <w:p w:rsidR="00F70D78" w:rsidRDefault="00F70D78"/>
    <w:p w:rsidR="00F70D78" w:rsidRDefault="00F70D78"/>
    <w:p w:rsidR="00F70D78" w:rsidRDefault="00F70D78"/>
    <w:p w:rsidR="00F70D78" w:rsidRDefault="00F70D78"/>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Default="00F70D78" w:rsidP="00F70D78">
      <w:pPr>
        <w:autoSpaceDE w:val="0"/>
        <w:autoSpaceDN w:val="0"/>
        <w:adjustRightInd w:val="0"/>
        <w:spacing w:after="0" w:line="240" w:lineRule="auto"/>
        <w:rPr>
          <w:rFonts w:ascii="Arial" w:hAnsi="Arial" w:cs="Arial"/>
          <w:sz w:val="24"/>
          <w:szCs w:val="24"/>
        </w:rPr>
      </w:pPr>
    </w:p>
    <w:p w:rsidR="00F70D78" w:rsidRPr="00F70D78" w:rsidRDefault="00F70D78" w:rsidP="00F70D7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Report prepared by: Hannah Carver, Research and Evaluation Officer, Edinburgh ADP Support Team on behalf of the Edinburgh ADP Overprovision Steering Group. </w:t>
      </w:r>
      <w:hyperlink r:id="rId10" w:history="1">
        <w:r>
          <w:rPr>
            <w:rStyle w:val="Hyperlink"/>
            <w:rFonts w:ascii="Arial" w:hAnsi="Arial" w:cs="Arial"/>
            <w:sz w:val="24"/>
            <w:szCs w:val="24"/>
          </w:rPr>
          <w:t>Hannah.Carver@edinburgh.gov.uk</w:t>
        </w:r>
      </w:hyperlink>
    </w:p>
    <w:sectPr w:rsidR="00F70D78" w:rsidRPr="00F70D78" w:rsidSect="0072738B">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B8C" w:rsidRDefault="00CE7B8C" w:rsidP="002449E2">
      <w:pPr>
        <w:spacing w:after="0" w:line="240" w:lineRule="auto"/>
      </w:pPr>
      <w:r>
        <w:separator/>
      </w:r>
    </w:p>
  </w:endnote>
  <w:endnote w:type="continuationSeparator" w:id="0">
    <w:p w:rsidR="00CE7B8C" w:rsidRDefault="00CE7B8C" w:rsidP="00244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0272"/>
      <w:docPartObj>
        <w:docPartGallery w:val="Page Numbers (Bottom of Page)"/>
        <w:docPartUnique/>
      </w:docPartObj>
    </w:sdtPr>
    <w:sdtContent>
      <w:p w:rsidR="00F70D78" w:rsidRDefault="00D42A04">
        <w:pPr>
          <w:pStyle w:val="Footer"/>
          <w:jc w:val="center"/>
        </w:pPr>
        <w:fldSimple w:instr=" PAGE   \* MERGEFORMAT ">
          <w:r w:rsidR="0033306C">
            <w:rPr>
              <w:noProof/>
            </w:rPr>
            <w:t>2</w:t>
          </w:r>
        </w:fldSimple>
      </w:p>
    </w:sdtContent>
  </w:sdt>
  <w:p w:rsidR="00F70D78" w:rsidRDefault="00F70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B8C" w:rsidRDefault="00CE7B8C" w:rsidP="002449E2">
      <w:pPr>
        <w:spacing w:after="0" w:line="240" w:lineRule="auto"/>
      </w:pPr>
      <w:r>
        <w:separator/>
      </w:r>
    </w:p>
  </w:footnote>
  <w:footnote w:type="continuationSeparator" w:id="0">
    <w:p w:rsidR="00CE7B8C" w:rsidRDefault="00CE7B8C" w:rsidP="002449E2">
      <w:pPr>
        <w:spacing w:after="0" w:line="240" w:lineRule="auto"/>
      </w:pPr>
      <w:r>
        <w:continuationSeparator/>
      </w:r>
    </w:p>
  </w:footnote>
  <w:footnote w:id="1">
    <w:p w:rsidR="00CE7B8C" w:rsidRPr="00370EBD" w:rsidRDefault="00CE7B8C" w:rsidP="002449E2">
      <w:pPr>
        <w:tabs>
          <w:tab w:val="left" w:pos="1620"/>
        </w:tabs>
        <w:spacing w:after="0" w:line="240" w:lineRule="auto"/>
        <w:rPr>
          <w:rFonts w:ascii="Arial" w:hAnsi="Arial" w:cs="Arial"/>
          <w:sz w:val="20"/>
          <w:szCs w:val="20"/>
        </w:rPr>
      </w:pPr>
      <w:r>
        <w:rPr>
          <w:rStyle w:val="FootnoteReference"/>
        </w:rPr>
        <w:footnoteRef/>
      </w:r>
      <w:r>
        <w:t xml:space="preserve"> </w:t>
      </w:r>
      <w:r w:rsidRPr="00370EBD">
        <w:rPr>
          <w:rFonts w:ascii="Arial" w:hAnsi="Arial" w:cs="Arial"/>
          <w:sz w:val="20"/>
          <w:szCs w:val="20"/>
        </w:rPr>
        <w:t>Intermediate zones (IZ) were created for use with Scottish Neighbourhood Statistics (SNS) as a level between data zones (500 to 1000 people) and large scale local authorities. IZs contain between 2500 and 6000 people (</w:t>
      </w:r>
      <w:r w:rsidRPr="00370EBD">
        <w:rPr>
          <w:rFonts w:ascii="Arial" w:hAnsi="Arial" w:cs="Arial"/>
          <w:i/>
          <w:sz w:val="20"/>
          <w:szCs w:val="20"/>
        </w:rPr>
        <w:t>Source:</w:t>
      </w:r>
      <w:hyperlink r:id="rId1" w:history="1">
        <w:r w:rsidRPr="00370EBD">
          <w:rPr>
            <w:rStyle w:val="Hyperlink"/>
            <w:rFonts w:ascii="Arial" w:hAnsi="Arial" w:cs="Arial"/>
            <w:i/>
            <w:sz w:val="20"/>
            <w:szCs w:val="20"/>
          </w:rPr>
          <w:t>http://www.scotland.gov.uk/Publications/2005/02/20732/53083</w:t>
        </w:r>
      </w:hyperlink>
      <w:r w:rsidRPr="00370EBD">
        <w:rPr>
          <w:rFonts w:ascii="Arial" w:hAnsi="Arial" w:cs="Arial"/>
          <w:i/>
          <w:sz w:val="20"/>
          <w:szCs w:val="20"/>
        </w:rPr>
        <w:t>)</w:t>
      </w:r>
      <w:r w:rsidRPr="00370EBD">
        <w:rPr>
          <w:rFonts w:ascii="Arial" w:hAnsi="Arial" w:cs="Arial"/>
          <w:sz w:val="20"/>
          <w:szCs w:val="20"/>
        </w:rPr>
        <w:t xml:space="preserve"> </w:t>
      </w:r>
    </w:p>
    <w:p w:rsidR="00CE7B8C" w:rsidRDefault="00CE7B8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64D"/>
    <w:multiLevelType w:val="hybridMultilevel"/>
    <w:tmpl w:val="2D569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1A0EDB"/>
    <w:multiLevelType w:val="hybridMultilevel"/>
    <w:tmpl w:val="3412FFD6"/>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2">
    <w:nsid w:val="13DC1FE0"/>
    <w:multiLevelType w:val="hybridMultilevel"/>
    <w:tmpl w:val="3774A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8E35816"/>
    <w:multiLevelType w:val="hybridMultilevel"/>
    <w:tmpl w:val="12D00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2D11A8B"/>
    <w:multiLevelType w:val="hybridMultilevel"/>
    <w:tmpl w:val="EBA0F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86F0BBE"/>
    <w:multiLevelType w:val="hybridMultilevel"/>
    <w:tmpl w:val="6346D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01D6"/>
    <w:rsid w:val="0006767B"/>
    <w:rsid w:val="0017328A"/>
    <w:rsid w:val="002449E2"/>
    <w:rsid w:val="0032254A"/>
    <w:rsid w:val="0033306C"/>
    <w:rsid w:val="003D05B9"/>
    <w:rsid w:val="00574392"/>
    <w:rsid w:val="005A7974"/>
    <w:rsid w:val="00616BBA"/>
    <w:rsid w:val="00627D05"/>
    <w:rsid w:val="006A0523"/>
    <w:rsid w:val="0072738B"/>
    <w:rsid w:val="00901DB0"/>
    <w:rsid w:val="00971F2D"/>
    <w:rsid w:val="00AA38E4"/>
    <w:rsid w:val="00B8208C"/>
    <w:rsid w:val="00C324D4"/>
    <w:rsid w:val="00C54BBA"/>
    <w:rsid w:val="00CE7B8C"/>
    <w:rsid w:val="00D201D6"/>
    <w:rsid w:val="00D42A04"/>
    <w:rsid w:val="00D500B4"/>
    <w:rsid w:val="00E37E6B"/>
    <w:rsid w:val="00EE4953"/>
    <w:rsid w:val="00F36FB7"/>
    <w:rsid w:val="00F5492B"/>
    <w:rsid w:val="00F63B42"/>
    <w:rsid w:val="00F70D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E2"/>
    <w:rPr>
      <w:rFonts w:ascii="Tahoma" w:hAnsi="Tahoma" w:cs="Tahoma"/>
      <w:sz w:val="16"/>
      <w:szCs w:val="16"/>
    </w:rPr>
  </w:style>
  <w:style w:type="paragraph" w:styleId="FootnoteText">
    <w:name w:val="footnote text"/>
    <w:basedOn w:val="Normal"/>
    <w:link w:val="FootnoteTextChar"/>
    <w:uiPriority w:val="99"/>
    <w:semiHidden/>
    <w:unhideWhenUsed/>
    <w:rsid w:val="00244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9E2"/>
    <w:rPr>
      <w:sz w:val="20"/>
      <w:szCs w:val="20"/>
    </w:rPr>
  </w:style>
  <w:style w:type="character" w:styleId="FootnoteReference">
    <w:name w:val="footnote reference"/>
    <w:basedOn w:val="DefaultParagraphFont"/>
    <w:uiPriority w:val="99"/>
    <w:semiHidden/>
    <w:unhideWhenUsed/>
    <w:rsid w:val="002449E2"/>
    <w:rPr>
      <w:vertAlign w:val="superscript"/>
    </w:rPr>
  </w:style>
  <w:style w:type="character" w:styleId="Hyperlink">
    <w:name w:val="Hyperlink"/>
    <w:basedOn w:val="DefaultParagraphFont"/>
    <w:uiPriority w:val="99"/>
    <w:unhideWhenUsed/>
    <w:rsid w:val="002449E2"/>
    <w:rPr>
      <w:color w:val="0000FF" w:themeColor="hyperlink"/>
      <w:u w:val="single"/>
    </w:rPr>
  </w:style>
  <w:style w:type="table" w:styleId="TableGrid">
    <w:name w:val="Table Grid"/>
    <w:basedOn w:val="TableNormal"/>
    <w:uiPriority w:val="59"/>
    <w:rsid w:val="00244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FB7"/>
    <w:pPr>
      <w:spacing w:after="0" w:line="240" w:lineRule="auto"/>
      <w:ind w:left="720"/>
    </w:pPr>
    <w:rPr>
      <w:rFonts w:ascii="Calibri" w:hAnsi="Calibri" w:cs="Calibri"/>
      <w:lang w:eastAsia="en-GB"/>
    </w:rPr>
  </w:style>
  <w:style w:type="paragraph" w:styleId="Header">
    <w:name w:val="header"/>
    <w:basedOn w:val="Normal"/>
    <w:link w:val="HeaderChar"/>
    <w:uiPriority w:val="99"/>
    <w:semiHidden/>
    <w:unhideWhenUsed/>
    <w:rsid w:val="00F70D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0D78"/>
  </w:style>
  <w:style w:type="paragraph" w:styleId="Footer">
    <w:name w:val="footer"/>
    <w:basedOn w:val="Normal"/>
    <w:link w:val="FooterChar"/>
    <w:uiPriority w:val="99"/>
    <w:unhideWhenUsed/>
    <w:rsid w:val="00F70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D78"/>
  </w:style>
</w:styles>
</file>

<file path=word/webSettings.xml><?xml version="1.0" encoding="utf-8"?>
<w:webSettings xmlns:r="http://schemas.openxmlformats.org/officeDocument/2006/relationships" xmlns:w="http://schemas.openxmlformats.org/wordprocessingml/2006/main">
  <w:divs>
    <w:div w:id="14564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nnah.Carver@edinburgh.gov.uk" TargetMode="Externa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www.scotland.gov.uk/Publications/2005/02/20732/5308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orpad.corp.edinburgh.gov.uk\departments\HSC\HSC-HQ\R-%20EADP\Action%20On%20Drugs\Hannah%20Carver\Projects\Overprovision%20report\Health%20information\NP%20hospital%20admiss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Sheet1!$C$4</c:f>
              <c:strCache>
                <c:ptCount val="1"/>
                <c:pt idx="0">
                  <c:v>Alcohol-related hospital admissions per 10,000</c:v>
                </c:pt>
              </c:strCache>
            </c:strRef>
          </c:tx>
          <c:dPt>
            <c:idx val="0"/>
            <c:spPr>
              <a:solidFill>
                <a:schemeClr val="accent1"/>
              </a:solidFill>
            </c:spPr>
          </c:dPt>
          <c:dPt>
            <c:idx val="1"/>
            <c:spPr>
              <a:solidFill>
                <a:schemeClr val="accent1"/>
              </a:solidFill>
              <a:ln>
                <a:solidFill>
                  <a:sysClr val="windowText" lastClr="000000"/>
                </a:solidFill>
              </a:ln>
            </c:spPr>
          </c:dPt>
          <c:dPt>
            <c:idx val="2"/>
            <c:spPr>
              <a:solidFill>
                <a:schemeClr val="accent1"/>
              </a:solidFill>
            </c:spPr>
          </c:dPt>
          <c:dPt>
            <c:idx val="3"/>
            <c:spPr>
              <a:solidFill>
                <a:schemeClr val="accent1"/>
              </a:solidFill>
            </c:spPr>
          </c:dPt>
          <c:dPt>
            <c:idx val="4"/>
            <c:spPr>
              <a:solidFill>
                <a:schemeClr val="accent1"/>
              </a:solidFill>
            </c:spPr>
          </c:dPt>
          <c:dPt>
            <c:idx val="5"/>
            <c:spPr>
              <a:solidFill>
                <a:schemeClr val="accent1"/>
              </a:solidFill>
            </c:spPr>
          </c:dPt>
          <c:dPt>
            <c:idx val="6"/>
            <c:spPr>
              <a:solidFill>
                <a:schemeClr val="accent1"/>
              </a:solidFill>
            </c:spPr>
          </c:dPt>
          <c:dPt>
            <c:idx val="7"/>
            <c:spPr>
              <a:solidFill>
                <a:schemeClr val="accent1"/>
              </a:solidFill>
            </c:spPr>
          </c:dPt>
          <c:dPt>
            <c:idx val="8"/>
            <c:spPr>
              <a:solidFill>
                <a:srgbClr val="FF0000"/>
              </a:solidFill>
            </c:spPr>
          </c:dPt>
          <c:dLbls>
            <c:showVal val="1"/>
          </c:dLbls>
          <c:cat>
            <c:strRef>
              <c:f>Sheet1!$B$5:$B$16</c:f>
              <c:strCache>
                <c:ptCount val="12"/>
                <c:pt idx="0">
                  <c:v>Almond</c:v>
                </c:pt>
                <c:pt idx="1">
                  <c:v>City Centre</c:v>
                </c:pt>
                <c:pt idx="2">
                  <c:v>Craigentinny/Duddingston</c:v>
                </c:pt>
                <c:pt idx="3">
                  <c:v>Forth</c:v>
                </c:pt>
                <c:pt idx="4">
                  <c:v>Inverleith</c:v>
                </c:pt>
                <c:pt idx="5">
                  <c:v>Leith</c:v>
                </c:pt>
                <c:pt idx="6">
                  <c:v>Liberton/Gilmerton</c:v>
                </c:pt>
                <c:pt idx="7">
                  <c:v>Pentlands</c:v>
                </c:pt>
                <c:pt idx="8">
                  <c:v>Portobello/Craigmillar</c:v>
                </c:pt>
                <c:pt idx="9">
                  <c:v>South Central</c:v>
                </c:pt>
                <c:pt idx="10">
                  <c:v>South West</c:v>
                </c:pt>
                <c:pt idx="11">
                  <c:v>Western</c:v>
                </c:pt>
              </c:strCache>
            </c:strRef>
          </c:cat>
          <c:val>
            <c:numRef>
              <c:f>Sheet1!$C$5:$C$16</c:f>
              <c:numCache>
                <c:formatCode>0.0</c:formatCode>
                <c:ptCount val="12"/>
                <c:pt idx="0">
                  <c:v>67.5</c:v>
                </c:pt>
                <c:pt idx="1">
                  <c:v>91.3</c:v>
                </c:pt>
                <c:pt idx="2">
                  <c:v>110.9</c:v>
                </c:pt>
                <c:pt idx="3">
                  <c:v>117</c:v>
                </c:pt>
                <c:pt idx="4">
                  <c:v>70.3</c:v>
                </c:pt>
                <c:pt idx="5">
                  <c:v>134.19999999999999</c:v>
                </c:pt>
                <c:pt idx="6">
                  <c:v>110.7</c:v>
                </c:pt>
                <c:pt idx="7">
                  <c:v>76.2</c:v>
                </c:pt>
                <c:pt idx="8">
                  <c:v>134.80000000000001</c:v>
                </c:pt>
                <c:pt idx="9">
                  <c:v>62.1</c:v>
                </c:pt>
                <c:pt idx="10">
                  <c:v>114.2</c:v>
                </c:pt>
                <c:pt idx="11">
                  <c:v>68.7</c:v>
                </c:pt>
              </c:numCache>
            </c:numRef>
          </c:val>
        </c:ser>
        <c:axId val="92236416"/>
        <c:axId val="92242304"/>
      </c:barChart>
      <c:lineChart>
        <c:grouping val="standard"/>
        <c:ser>
          <c:idx val="1"/>
          <c:order val="1"/>
          <c:tx>
            <c:strRef>
              <c:f>Sheet1!$D$4</c:f>
              <c:strCache>
                <c:ptCount val="1"/>
                <c:pt idx="0">
                  <c:v>Edinburgh</c:v>
                </c:pt>
              </c:strCache>
            </c:strRef>
          </c:tx>
          <c:marker>
            <c:symbol val="none"/>
          </c:marker>
          <c:cat>
            <c:strRef>
              <c:f>Sheet1!$B$5:$B$16</c:f>
              <c:strCache>
                <c:ptCount val="12"/>
                <c:pt idx="0">
                  <c:v>Almond</c:v>
                </c:pt>
                <c:pt idx="1">
                  <c:v>City Centre</c:v>
                </c:pt>
                <c:pt idx="2">
                  <c:v>Craigentinny/Duddingston</c:v>
                </c:pt>
                <c:pt idx="3">
                  <c:v>Forth</c:v>
                </c:pt>
                <c:pt idx="4">
                  <c:v>Inverleith</c:v>
                </c:pt>
                <c:pt idx="5">
                  <c:v>Leith</c:v>
                </c:pt>
                <c:pt idx="6">
                  <c:v>Liberton/Gilmerton</c:v>
                </c:pt>
                <c:pt idx="7">
                  <c:v>Pentlands</c:v>
                </c:pt>
                <c:pt idx="8">
                  <c:v>Portobello/Craigmillar</c:v>
                </c:pt>
                <c:pt idx="9">
                  <c:v>South Central</c:v>
                </c:pt>
                <c:pt idx="10">
                  <c:v>South West</c:v>
                </c:pt>
                <c:pt idx="11">
                  <c:v>Western</c:v>
                </c:pt>
              </c:strCache>
            </c:strRef>
          </c:cat>
          <c:val>
            <c:numRef>
              <c:f>Sheet1!$D$5:$D$16</c:f>
              <c:numCache>
                <c:formatCode>0.0</c:formatCode>
                <c:ptCount val="12"/>
                <c:pt idx="0">
                  <c:v>89.4</c:v>
                </c:pt>
                <c:pt idx="1">
                  <c:v>89.4</c:v>
                </c:pt>
                <c:pt idx="2">
                  <c:v>89.4</c:v>
                </c:pt>
                <c:pt idx="3">
                  <c:v>89.4</c:v>
                </c:pt>
                <c:pt idx="4">
                  <c:v>89.4</c:v>
                </c:pt>
                <c:pt idx="5">
                  <c:v>89.4</c:v>
                </c:pt>
                <c:pt idx="6">
                  <c:v>89.4</c:v>
                </c:pt>
                <c:pt idx="7">
                  <c:v>89.4</c:v>
                </c:pt>
                <c:pt idx="8">
                  <c:v>89.4</c:v>
                </c:pt>
                <c:pt idx="9">
                  <c:v>89.4</c:v>
                </c:pt>
                <c:pt idx="10">
                  <c:v>89.4</c:v>
                </c:pt>
                <c:pt idx="11">
                  <c:v>89.4</c:v>
                </c:pt>
              </c:numCache>
            </c:numRef>
          </c:val>
        </c:ser>
        <c:marker val="1"/>
        <c:axId val="92236416"/>
        <c:axId val="92242304"/>
      </c:lineChart>
      <c:catAx>
        <c:axId val="92236416"/>
        <c:scaling>
          <c:orientation val="minMax"/>
        </c:scaling>
        <c:axPos val="b"/>
        <c:tickLblPos val="nextTo"/>
        <c:crossAx val="92242304"/>
        <c:crosses val="autoZero"/>
        <c:auto val="1"/>
        <c:lblAlgn val="ctr"/>
        <c:lblOffset val="100"/>
      </c:catAx>
      <c:valAx>
        <c:axId val="92242304"/>
        <c:scaling>
          <c:orientation val="minMax"/>
        </c:scaling>
        <c:axPos val="l"/>
        <c:majorGridlines/>
        <c:numFmt formatCode="0.0" sourceLinked="1"/>
        <c:tickLblPos val="nextTo"/>
        <c:crossAx val="92236416"/>
        <c:crosses val="autoZero"/>
        <c:crossBetween val="between"/>
      </c:valAx>
    </c:plotArea>
    <c:legend>
      <c:legendPos val="r"/>
      <c:layout>
        <c:manualLayout>
          <c:xMode val="edge"/>
          <c:yMode val="edge"/>
          <c:x val="0.79166945840312752"/>
          <c:y val="0.10443454099029417"/>
          <c:w val="0.1949302065884983"/>
          <c:h val="0.51351575187998821"/>
        </c:manualLayout>
      </c:layout>
    </c:legend>
    <c:plotVisOnly val="1"/>
    <c:dispBlanksAs val="gap"/>
  </c:chart>
  <c:spPr>
    <a:ln>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22472-38CB-4ECD-92DC-BA305EC5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Carver</dc:creator>
  <cp:lastModifiedBy>Graham Rowan</cp:lastModifiedBy>
  <cp:revision>2</cp:revision>
  <dcterms:created xsi:type="dcterms:W3CDTF">2014-06-19T09:32:00Z</dcterms:created>
  <dcterms:modified xsi:type="dcterms:W3CDTF">2014-06-19T09:32:00Z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325810322</vt:i4>
  </property>
  <property fmtid="{D5CDD505-2E9C-101B-9397-08002B2CF9AE}" pid="3" name="_NewReviewCycle">
    <vt:lpwstr/>
  </property>
  <property fmtid="{D5CDD505-2E9C-101B-9397-08002B2CF9AE}" pid="4" name="_EmailSubject">
    <vt:lpwstr>NP BUSINESS MEETING - P&amp;C DATA ETC</vt:lpwstr>
  </property>
  <property fmtid="{D5CDD505-2E9C-101B-9397-08002B2CF9AE}" pid="5" name="_AuthorEmail">
    <vt:lpwstr>Graham.Rowan@edinburgh.gov.uk</vt:lpwstr>
  </property>
  <property fmtid="{D5CDD505-2E9C-101B-9397-08002B2CF9AE}" pid="6" name="_AuthorEmailDisplayName">
    <vt:lpwstr>Graham Rowan</vt:lpwstr>
  </property>
  <property fmtid="{D5CDD505-2E9C-101B-9397-08002B2CF9AE}" pid="8" name="_PreviousAdHocReviewCycleID">
    <vt:i4>327041460</vt:i4>
  </property>
</Properties>
</file>